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bmp" ContentType="image/bmp"/>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rPr>
          <w:sz w:val="28"/>
        </w:rPr>
      </w:pPr>
      <w:r>
        <w:rPr>
          <w:sz w:val="28"/>
        </w:rPr>
        <w:pict>
          <v:shape id="_x0000_s1026" o:spid="_x0000_s1026" o:spt="202" type="#_x0000_t202" style="position:absolute;left:0pt;margin-left:287.65pt;margin-top:4pt;height:96.75pt;width:125.6pt;z-index:251661312;mso-width-relative:page;mso-height-relative:page;" coordsize="21600,21600" o:gfxdata="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JuvS3YAAAACQEAAA8AAAAAAAAAAQAgAAAAIgAAAGRycy9kb3ducmV2LnhtbFBLAQIUABQA&#10;AAAIAIdO4kBFa2M88AEAAOkDAAAOAAAAAAAAAAEAIAAAACcBAABkcnMvZTJvRG9jLnhtbFBLBQYA&#10;AAAABgAGAFkBAACJBQAAAAA=&#10;">
            <v:path/>
            <v:fill focussize="0,0"/>
            <v:stroke joinstyle="miter"/>
            <v:imagedata o:title=""/>
            <o:lock v:ext="edit"/>
            <v:textbox>
              <w:txbxContent>
                <w:p>
                  <w:pPr>
                    <w:spacing w:line="360" w:lineRule="auto"/>
                    <w:ind w:left="134" w:leftChars="64"/>
                    <w:rPr>
                      <w:rFonts w:cs="宋体"/>
                      <w:sz w:val="28"/>
                      <w:szCs w:val="28"/>
                    </w:rPr>
                  </w:pPr>
                  <w:r>
                    <w:rPr>
                      <w:rFonts w:hint="eastAsia" w:cs="宋体"/>
                      <w:sz w:val="28"/>
                      <w:szCs w:val="28"/>
                    </w:rPr>
                    <w:t>报告表编号：</w:t>
                  </w:r>
                </w:p>
                <w:p>
                  <w:pPr>
                    <w:spacing w:line="360" w:lineRule="auto"/>
                    <w:ind w:left="134" w:leftChars="64"/>
                    <w:rPr>
                      <w:rFonts w:cs="宋体"/>
                      <w:sz w:val="28"/>
                      <w:szCs w:val="28"/>
                      <w:u w:val="single"/>
                    </w:rPr>
                  </w:pPr>
                  <w:r>
                    <w:rPr>
                      <w:rFonts w:hint="eastAsia" w:cs="宋体"/>
                      <w:sz w:val="28"/>
                      <w:szCs w:val="28"/>
                      <w:u w:val="single"/>
                    </w:rPr>
                    <w:t xml:space="preserve">    2019   </w:t>
                  </w:r>
                  <w:r>
                    <w:rPr>
                      <w:rFonts w:hint="eastAsia" w:cs="宋体"/>
                      <w:sz w:val="28"/>
                      <w:szCs w:val="28"/>
                    </w:rPr>
                    <w:t xml:space="preserve"> 年</w:t>
                  </w:r>
                </w:p>
                <w:p>
                  <w:pPr>
                    <w:spacing w:line="360" w:lineRule="auto"/>
                    <w:ind w:left="120" w:leftChars="57"/>
                    <w:rPr>
                      <w:rFonts w:cs="宋体"/>
                      <w:u w:val="single"/>
                    </w:rPr>
                  </w:pPr>
                  <w:r>
                    <w:rPr>
                      <w:rFonts w:hint="eastAsia" w:cs="宋体"/>
                      <w:sz w:val="28"/>
                      <w:szCs w:val="28"/>
                    </w:rPr>
                    <w:t>编号</w:t>
                  </w:r>
                  <w:r>
                    <w:rPr>
                      <w:rFonts w:hint="eastAsia" w:cs="宋体"/>
                      <w:sz w:val="28"/>
                      <w:szCs w:val="28"/>
                      <w:u w:val="single"/>
                    </w:rPr>
                    <w:t xml:space="preserve">HP1904279 </w:t>
                  </w:r>
                </w:p>
                <w:p/>
              </w:txbxContent>
            </v:textbox>
          </v:shape>
        </w:pict>
      </w: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jc w:val="center"/>
        <w:outlineLvl w:val="0"/>
        <w:rPr>
          <w:b/>
          <w:sz w:val="72"/>
        </w:rPr>
      </w:pPr>
      <w:r>
        <w:rPr>
          <w:rFonts w:hint="eastAsia"/>
          <w:b/>
          <w:sz w:val="72"/>
        </w:rPr>
        <w:t>建设项目环境影响报告表</w:t>
      </w:r>
    </w:p>
    <w:p>
      <w:pPr>
        <w:adjustRightInd w:val="0"/>
        <w:snapToGrid w:val="0"/>
        <w:jc w:val="center"/>
        <w:outlineLvl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r>
        <w:rPr>
          <w:rFonts w:hint="eastAsia"/>
          <w:sz w:val="28"/>
        </w:rPr>
        <w:t xml:space="preserve"> </w:t>
      </w: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spacing w:line="360" w:lineRule="auto"/>
        <w:outlineLvl w:val="0"/>
        <w:rPr>
          <w:kern w:val="0"/>
          <w:sz w:val="32"/>
          <w:u w:val="single"/>
        </w:rPr>
      </w:pPr>
      <w:r>
        <w:rPr>
          <w:rFonts w:hint="eastAsia"/>
          <w:b/>
          <w:sz w:val="32"/>
        </w:rPr>
        <w:t>项目名称：</w:t>
      </w:r>
      <w:r>
        <w:rPr>
          <w:rFonts w:hint="eastAsia"/>
          <w:b/>
          <w:kern w:val="0"/>
          <w:sz w:val="32"/>
          <w:u w:val="single"/>
        </w:rPr>
        <w:t xml:space="preserve">广州昇宏五金制品有限公司建设项目   </w:t>
      </w:r>
      <w:r>
        <w:rPr>
          <w:rFonts w:hint="eastAsia"/>
          <w:kern w:val="0"/>
          <w:sz w:val="32"/>
          <w:u w:val="single"/>
        </w:rPr>
        <w:t xml:space="preserve"> </w:t>
      </w:r>
    </w:p>
    <w:p>
      <w:pPr>
        <w:adjustRightInd w:val="0"/>
        <w:snapToGrid w:val="0"/>
        <w:ind w:right="-34" w:rightChars="-16"/>
        <w:outlineLvl w:val="0"/>
        <w:rPr>
          <w:sz w:val="28"/>
        </w:rPr>
      </w:pPr>
      <w:r>
        <w:rPr>
          <w:rFonts w:hint="eastAsia"/>
          <w:b/>
          <w:sz w:val="32"/>
        </w:rPr>
        <w:t>建设单位（盖章）：</w:t>
      </w:r>
      <w:r>
        <w:rPr>
          <w:rFonts w:hint="eastAsia"/>
          <w:b/>
          <w:kern w:val="0"/>
          <w:sz w:val="32"/>
          <w:u w:val="single"/>
        </w:rPr>
        <w:t>广州昇宏五金制品有限公司</w:t>
      </w:r>
      <w:r>
        <w:rPr>
          <w:rFonts w:hint="eastAsia"/>
          <w:kern w:val="0"/>
          <w:sz w:val="32"/>
          <w:u w:val="single"/>
        </w:rPr>
        <w:t xml:space="preserve">    </w:t>
      </w: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spacing w:line="360" w:lineRule="auto"/>
        <w:jc w:val="center"/>
        <w:outlineLvl w:val="0"/>
        <w:rPr>
          <w:b/>
          <w:sz w:val="32"/>
        </w:rPr>
      </w:pPr>
    </w:p>
    <w:p>
      <w:pPr>
        <w:adjustRightInd w:val="0"/>
        <w:snapToGrid w:val="0"/>
        <w:spacing w:line="360" w:lineRule="auto"/>
        <w:jc w:val="center"/>
        <w:outlineLvl w:val="0"/>
        <w:rPr>
          <w:b/>
          <w:sz w:val="32"/>
        </w:rPr>
      </w:pPr>
    </w:p>
    <w:p>
      <w:pPr>
        <w:adjustRightInd w:val="0"/>
        <w:snapToGrid w:val="0"/>
        <w:spacing w:line="360" w:lineRule="auto"/>
        <w:jc w:val="center"/>
        <w:outlineLvl w:val="0"/>
        <w:rPr>
          <w:b/>
          <w:sz w:val="32"/>
        </w:rPr>
      </w:pPr>
    </w:p>
    <w:p>
      <w:pPr>
        <w:adjustRightInd w:val="0"/>
        <w:snapToGrid w:val="0"/>
        <w:spacing w:line="360" w:lineRule="auto"/>
        <w:jc w:val="center"/>
        <w:outlineLvl w:val="0"/>
        <w:rPr>
          <w:b/>
          <w:sz w:val="32"/>
        </w:rPr>
      </w:pPr>
      <w:r>
        <w:rPr>
          <w:rFonts w:hint="eastAsia"/>
          <w:b/>
          <w:sz w:val="32"/>
        </w:rPr>
        <w:t>编制日期：2019年4月</w:t>
      </w:r>
    </w:p>
    <w:p>
      <w:pPr>
        <w:adjustRightInd w:val="0"/>
        <w:snapToGrid w:val="0"/>
        <w:spacing w:line="360" w:lineRule="auto"/>
        <w:jc w:val="center"/>
        <w:rPr>
          <w:b/>
          <w:sz w:val="32"/>
        </w:rPr>
      </w:pPr>
      <w:r>
        <w:rPr>
          <w:rFonts w:hint="eastAsia"/>
          <w:b/>
          <w:sz w:val="32"/>
        </w:rPr>
        <w:t>国家环境保护总局制</w:t>
      </w:r>
    </w:p>
    <w:p>
      <w:pPr>
        <w:sectPr>
          <w:headerReference r:id="rId3" w:type="default"/>
          <w:footerReference r:id="rId4" w:type="even"/>
          <w:pgSz w:w="11906" w:h="16838"/>
          <w:pgMar w:top="1440" w:right="1800" w:bottom="1440" w:left="1800" w:header="851" w:footer="992" w:gutter="0"/>
          <w:cols w:space="720" w:num="1"/>
          <w:docGrid w:type="lines" w:linePitch="312" w:charSpace="0"/>
        </w:sectPr>
      </w:pPr>
    </w:p>
    <w:p>
      <w:pPr>
        <w:adjustRightInd w:val="0"/>
        <w:snapToGrid w:val="0"/>
        <w:rPr>
          <w:sz w:val="28"/>
        </w:rPr>
      </w:pPr>
    </w:p>
    <w:p>
      <w:pPr>
        <w:pStyle w:val="2"/>
      </w:pPr>
    </w:p>
    <w:p/>
    <w:p>
      <w:pPr>
        <w:pStyle w:val="2"/>
      </w:pPr>
    </w:p>
    <w:p/>
    <w:p>
      <w:pPr>
        <w:pStyle w:val="2"/>
      </w:pPr>
    </w:p>
    <w:p/>
    <w:p>
      <w:pPr>
        <w:pStyle w:val="2"/>
      </w:pPr>
    </w:p>
    <w:p/>
    <w:p>
      <w:pPr>
        <w:pStyle w:val="2"/>
      </w:pPr>
    </w:p>
    <w:p/>
    <w:p>
      <w:pPr>
        <w:pStyle w:val="2"/>
      </w:pPr>
    </w:p>
    <w:p/>
    <w:p>
      <w:pPr>
        <w:pStyle w:val="2"/>
        <w:sectPr>
          <w:footerReference r:id="rId5" w:type="default"/>
          <w:pgSz w:w="11906" w:h="16838"/>
          <w:pgMar w:top="1440" w:right="1800" w:bottom="1440" w:left="1800" w:header="851" w:footer="992" w:gutter="0"/>
          <w:pgNumType w:start="1"/>
          <w:cols w:space="720" w:num="1"/>
          <w:docGrid w:type="lines" w:linePitch="312" w:charSpace="0"/>
        </w:sectPr>
      </w:pPr>
    </w:p>
    <w:p>
      <w:pPr>
        <w:pStyle w:val="2"/>
      </w:pPr>
    </w:p>
    <w:p>
      <w:pPr>
        <w:adjustRightInd w:val="0"/>
        <w:snapToGrid w:val="0"/>
        <w:jc w:val="center"/>
        <w:outlineLvl w:val="0"/>
        <w:rPr>
          <w:b/>
          <w:sz w:val="30"/>
        </w:rPr>
      </w:pPr>
      <w:r>
        <w:rPr>
          <w:rFonts w:hint="eastAsia"/>
          <w:b/>
          <w:sz w:val="30"/>
        </w:rPr>
        <w:t>《建设项目环境影响报告表》编制说明</w:t>
      </w: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spacing w:line="480" w:lineRule="auto"/>
        <w:ind w:firstLine="480"/>
        <w:rPr>
          <w:sz w:val="24"/>
        </w:rPr>
      </w:pPr>
      <w:r>
        <w:rPr>
          <w:rFonts w:hint="eastAsia"/>
          <w:sz w:val="24"/>
        </w:rPr>
        <w:t>《建设项目环境影响报告表》由具有从事环境影响评价工作资质的单位编制。</w:t>
      </w:r>
    </w:p>
    <w:p>
      <w:pPr>
        <w:adjustRightInd w:val="0"/>
        <w:snapToGrid w:val="0"/>
        <w:spacing w:line="480" w:lineRule="auto"/>
        <w:ind w:firstLine="480"/>
        <w:rPr>
          <w:sz w:val="24"/>
        </w:rPr>
      </w:pPr>
      <w:r>
        <w:rPr>
          <w:sz w:val="24"/>
        </w:rPr>
        <w:t>1</w:t>
      </w:r>
      <w:r>
        <w:rPr>
          <w:rFonts w:hint="eastAsia"/>
          <w:sz w:val="24"/>
        </w:rPr>
        <w:t>．项目名称</w:t>
      </w:r>
      <w:r>
        <w:rPr>
          <w:sz w:val="24"/>
        </w:rPr>
        <w:t>——</w:t>
      </w:r>
      <w:r>
        <w:rPr>
          <w:rFonts w:hint="eastAsia"/>
          <w:sz w:val="24"/>
        </w:rPr>
        <w:t>指项目立项批复时的名称，应不超过</w:t>
      </w:r>
      <w:r>
        <w:rPr>
          <w:sz w:val="24"/>
        </w:rPr>
        <w:t>30</w:t>
      </w:r>
      <w:r>
        <w:rPr>
          <w:rFonts w:hint="eastAsia"/>
          <w:sz w:val="24"/>
        </w:rPr>
        <w:t>个字（两个英文字段作一个汉字）。</w:t>
      </w:r>
    </w:p>
    <w:p>
      <w:pPr>
        <w:adjustRightInd w:val="0"/>
        <w:snapToGrid w:val="0"/>
        <w:spacing w:line="480" w:lineRule="auto"/>
        <w:ind w:firstLine="480"/>
        <w:rPr>
          <w:sz w:val="24"/>
        </w:rPr>
      </w:pPr>
      <w:r>
        <w:rPr>
          <w:sz w:val="24"/>
        </w:rPr>
        <w:t>2</w:t>
      </w:r>
      <w:r>
        <w:rPr>
          <w:rFonts w:hint="eastAsia"/>
          <w:sz w:val="24"/>
        </w:rPr>
        <w:t>．建设地点</w:t>
      </w:r>
      <w:r>
        <w:rPr>
          <w:sz w:val="24"/>
        </w:rPr>
        <w:t>——</w:t>
      </w:r>
      <w:r>
        <w:rPr>
          <w:rFonts w:hint="eastAsia"/>
          <w:sz w:val="24"/>
        </w:rPr>
        <w:t>指项目所在地详细地址，公路、铁路应填写起止地点。</w:t>
      </w:r>
    </w:p>
    <w:p>
      <w:pPr>
        <w:adjustRightInd w:val="0"/>
        <w:snapToGrid w:val="0"/>
        <w:spacing w:line="480" w:lineRule="auto"/>
        <w:ind w:firstLine="480"/>
        <w:rPr>
          <w:sz w:val="24"/>
        </w:rPr>
      </w:pPr>
      <w:r>
        <w:rPr>
          <w:sz w:val="24"/>
        </w:rPr>
        <w:t>3</w:t>
      </w:r>
      <w:r>
        <w:rPr>
          <w:rFonts w:hint="eastAsia"/>
          <w:sz w:val="24"/>
        </w:rPr>
        <w:t>．行业类别</w:t>
      </w:r>
      <w:r>
        <w:rPr>
          <w:sz w:val="24"/>
        </w:rPr>
        <w:t>——</w:t>
      </w:r>
      <w:r>
        <w:rPr>
          <w:rFonts w:hint="eastAsia"/>
          <w:sz w:val="24"/>
        </w:rPr>
        <w:t>按国标填写。</w:t>
      </w:r>
    </w:p>
    <w:p>
      <w:pPr>
        <w:adjustRightInd w:val="0"/>
        <w:snapToGrid w:val="0"/>
        <w:spacing w:line="480" w:lineRule="auto"/>
        <w:ind w:firstLine="480"/>
        <w:rPr>
          <w:sz w:val="24"/>
        </w:rPr>
      </w:pPr>
      <w:r>
        <w:rPr>
          <w:sz w:val="24"/>
        </w:rPr>
        <w:t>4</w:t>
      </w:r>
      <w:r>
        <w:rPr>
          <w:rFonts w:hint="eastAsia"/>
          <w:sz w:val="24"/>
        </w:rPr>
        <w:t>．总投资</w:t>
      </w:r>
      <w:r>
        <w:rPr>
          <w:sz w:val="24"/>
        </w:rPr>
        <w:t>——</w:t>
      </w:r>
      <w:r>
        <w:rPr>
          <w:rFonts w:hint="eastAsia"/>
          <w:sz w:val="24"/>
        </w:rPr>
        <w:t>指项目投资总额。</w:t>
      </w:r>
    </w:p>
    <w:p>
      <w:pPr>
        <w:adjustRightInd w:val="0"/>
        <w:snapToGrid w:val="0"/>
        <w:spacing w:line="480" w:lineRule="auto"/>
        <w:ind w:firstLine="480"/>
        <w:rPr>
          <w:sz w:val="24"/>
        </w:rPr>
      </w:pPr>
      <w:r>
        <w:rPr>
          <w:sz w:val="24"/>
        </w:rPr>
        <w:t>5</w:t>
      </w:r>
      <w:r>
        <w:rPr>
          <w:rFonts w:hint="eastAsia"/>
          <w:sz w:val="24"/>
        </w:rPr>
        <w:t>．主要环境保护目标</w:t>
      </w:r>
      <w:r>
        <w:rPr>
          <w:sz w:val="24"/>
        </w:rPr>
        <w:t>——</w:t>
      </w:r>
      <w:r>
        <w:rPr>
          <w:rFonts w:hint="eastAsia"/>
          <w:sz w:val="24"/>
        </w:rPr>
        <w:t>指项目区周围一定范围内集中居民住宅区、学校、医院、保护文物、风景名胜区、水源地和生态敏感点等，应尽可能给出保护目标、性质、规模和距离等。</w:t>
      </w:r>
    </w:p>
    <w:p>
      <w:pPr>
        <w:adjustRightInd w:val="0"/>
        <w:snapToGrid w:val="0"/>
        <w:spacing w:line="480" w:lineRule="auto"/>
        <w:ind w:firstLine="480"/>
        <w:rPr>
          <w:sz w:val="24"/>
        </w:rPr>
      </w:pPr>
      <w:r>
        <w:rPr>
          <w:sz w:val="24"/>
        </w:rPr>
        <w:t>6</w:t>
      </w:r>
      <w:r>
        <w:rPr>
          <w:rFonts w:hint="eastAsia"/>
          <w:sz w:val="24"/>
        </w:rPr>
        <w:t>．结论与建议</w:t>
      </w:r>
      <w:r>
        <w:rPr>
          <w:sz w:val="24"/>
        </w:rPr>
        <w:t>——</w:t>
      </w:r>
      <w:r>
        <w:rPr>
          <w:rFonts w:hint="eastAsia"/>
          <w:sz w:val="24"/>
        </w:rPr>
        <w:t>给出本项目清洁生产、达标排放和总量控制的分析结论，确定污染防治措施的有效性，说明本项目对环境造成的影响，给出建设项目环境可行性的明确结论。同时提出减少环境影响的其他建议。</w:t>
      </w:r>
    </w:p>
    <w:p>
      <w:pPr>
        <w:adjustRightInd w:val="0"/>
        <w:snapToGrid w:val="0"/>
        <w:spacing w:line="480" w:lineRule="auto"/>
        <w:ind w:firstLine="480"/>
        <w:rPr>
          <w:sz w:val="24"/>
        </w:rPr>
      </w:pPr>
      <w:r>
        <w:rPr>
          <w:sz w:val="24"/>
        </w:rPr>
        <w:t>7</w:t>
      </w:r>
      <w:r>
        <w:rPr>
          <w:rFonts w:hint="eastAsia"/>
          <w:sz w:val="24"/>
        </w:rPr>
        <w:t>．预审意见</w:t>
      </w:r>
      <w:r>
        <w:rPr>
          <w:sz w:val="24"/>
        </w:rPr>
        <w:t>——</w:t>
      </w:r>
      <w:r>
        <w:rPr>
          <w:rFonts w:hint="eastAsia"/>
          <w:sz w:val="24"/>
        </w:rPr>
        <w:t>由行业主管部门填写答复意见，无主管部门项目，可不填。</w:t>
      </w:r>
    </w:p>
    <w:p>
      <w:pPr>
        <w:adjustRightInd w:val="0"/>
        <w:snapToGrid w:val="0"/>
        <w:spacing w:line="480" w:lineRule="auto"/>
        <w:ind w:firstLine="480"/>
        <w:rPr>
          <w:sz w:val="24"/>
        </w:rPr>
      </w:pPr>
      <w:r>
        <w:rPr>
          <w:sz w:val="24"/>
        </w:rPr>
        <w:t>8</w:t>
      </w:r>
      <w:r>
        <w:rPr>
          <w:rFonts w:hint="eastAsia"/>
          <w:sz w:val="24"/>
        </w:rPr>
        <w:t>．审批意见</w:t>
      </w:r>
      <w:r>
        <w:rPr>
          <w:sz w:val="24"/>
        </w:rPr>
        <w:t>——</w:t>
      </w:r>
      <w:r>
        <w:rPr>
          <w:rFonts w:hint="eastAsia"/>
          <w:sz w:val="24"/>
        </w:rPr>
        <w:t>由负责审批该项目的环境保护行政主管部门批复。</w:t>
      </w:r>
    </w:p>
    <w:p>
      <w:pPr>
        <w:pStyle w:val="2"/>
      </w:pPr>
    </w:p>
    <w:p/>
    <w:p>
      <w:pPr>
        <w:pStyle w:val="2"/>
      </w:pPr>
    </w:p>
    <w:p>
      <w:pPr>
        <w:sectPr>
          <w:footerReference r:id="rId6" w:type="default"/>
          <w:pgSz w:w="11906" w:h="16838"/>
          <w:pgMar w:top="1440" w:right="1800" w:bottom="1440" w:left="1800" w:header="851" w:footer="992" w:gutter="0"/>
          <w:pgNumType w:fmt="decimal" w:start="1"/>
          <w:cols w:space="720" w:num="1"/>
          <w:docGrid w:type="lines" w:linePitch="312" w:charSpace="0"/>
        </w:sectPr>
      </w:pPr>
    </w:p>
    <w:p>
      <w:pPr>
        <w:adjustRightInd w:val="0"/>
        <w:snapToGrid w:val="0"/>
      </w:pPr>
      <w:r>
        <w:rPr>
          <w:rFonts w:hint="eastAsia"/>
          <w:b/>
          <w:sz w:val="30"/>
        </w:rPr>
        <w:t>建设项目基本情况</w:t>
      </w:r>
    </w:p>
    <w:tbl>
      <w:tblPr>
        <w:tblStyle w:val="16"/>
        <w:tblW w:w="85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68" w:hRule="atLeast"/>
        </w:trPr>
        <w:tc>
          <w:tcPr>
            <w:tcW w:w="8531" w:type="dxa"/>
          </w:tcPr>
          <w:tbl>
            <w:tblPr>
              <w:tblStyle w:val="15"/>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3"/>
              <w:gridCol w:w="1329"/>
              <w:gridCol w:w="541"/>
              <w:gridCol w:w="1137"/>
              <w:gridCol w:w="1503"/>
              <w:gridCol w:w="99"/>
              <w:gridCol w:w="1266"/>
              <w:gridCol w:w="54"/>
              <w:gridCol w:w="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caps/>
                      <w:sz w:val="24"/>
                    </w:rPr>
                    <w:t>项目名称</w:t>
                  </w:r>
                </w:p>
              </w:tc>
              <w:tc>
                <w:tcPr>
                  <w:tcW w:w="6835" w:type="dxa"/>
                  <w:gridSpan w:val="8"/>
                  <w:vAlign w:val="center"/>
                </w:tcPr>
                <w:p>
                  <w:pPr>
                    <w:adjustRightInd w:val="0"/>
                    <w:snapToGrid w:val="0"/>
                    <w:jc w:val="center"/>
                    <w:rPr>
                      <w:sz w:val="24"/>
                    </w:rPr>
                  </w:pPr>
                  <w:r>
                    <w:rPr>
                      <w:sz w:val="24"/>
                    </w:rPr>
                    <w:t>广州昇宏五金制品有限公司建设项目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sz w:val="24"/>
                    </w:rPr>
                    <w:t>建设单位</w:t>
                  </w:r>
                </w:p>
              </w:tc>
              <w:tc>
                <w:tcPr>
                  <w:tcW w:w="6835" w:type="dxa"/>
                  <w:gridSpan w:val="8"/>
                  <w:vAlign w:val="center"/>
                </w:tcPr>
                <w:p>
                  <w:pPr>
                    <w:adjustRightInd w:val="0"/>
                    <w:snapToGrid w:val="0"/>
                    <w:jc w:val="center"/>
                    <w:rPr>
                      <w:sz w:val="24"/>
                    </w:rPr>
                  </w:pPr>
                  <w:r>
                    <w:rPr>
                      <w:sz w:val="24"/>
                    </w:rPr>
                    <w:t>广州昇宏五金制品有限公司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sz w:val="24"/>
                    </w:rPr>
                    <w:t>法人代表</w:t>
                  </w:r>
                </w:p>
              </w:tc>
              <w:tc>
                <w:tcPr>
                  <w:tcW w:w="3007" w:type="dxa"/>
                  <w:gridSpan w:val="3"/>
                  <w:vAlign w:val="center"/>
                </w:tcPr>
                <w:p>
                  <w:pPr>
                    <w:adjustRightInd w:val="0"/>
                    <w:snapToGrid w:val="0"/>
                    <w:jc w:val="center"/>
                    <w:rPr>
                      <w:sz w:val="24"/>
                    </w:rPr>
                  </w:pPr>
                  <w:r>
                    <w:rPr>
                      <w:sz w:val="24"/>
                    </w:rPr>
                    <w:t>肖义</w:t>
                  </w:r>
                </w:p>
              </w:tc>
              <w:tc>
                <w:tcPr>
                  <w:tcW w:w="1503" w:type="dxa"/>
                  <w:vAlign w:val="center"/>
                </w:tcPr>
                <w:p>
                  <w:pPr>
                    <w:adjustRightInd w:val="0"/>
                    <w:snapToGrid w:val="0"/>
                    <w:jc w:val="center"/>
                    <w:rPr>
                      <w:sz w:val="24"/>
                    </w:rPr>
                  </w:pPr>
                  <w:r>
                    <w:rPr>
                      <w:sz w:val="24"/>
                    </w:rPr>
                    <w:t>联系人</w:t>
                  </w:r>
                </w:p>
              </w:tc>
              <w:tc>
                <w:tcPr>
                  <w:tcW w:w="2325" w:type="dxa"/>
                  <w:gridSpan w:val="4"/>
                  <w:vAlign w:val="center"/>
                </w:tcPr>
                <w:p>
                  <w:pPr>
                    <w:adjustRightInd w:val="0"/>
                    <w:snapToGrid w:val="0"/>
                    <w:jc w:val="center"/>
                    <w:rPr>
                      <w:sz w:val="24"/>
                    </w:rPr>
                  </w:pPr>
                  <w:r>
                    <w:rPr>
                      <w:sz w:val="24"/>
                    </w:rPr>
                    <w:t>肖义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sz w:val="24"/>
                    </w:rPr>
                    <w:t>通讯地址</w:t>
                  </w:r>
                </w:p>
              </w:tc>
              <w:tc>
                <w:tcPr>
                  <w:tcW w:w="6835" w:type="dxa"/>
                  <w:gridSpan w:val="8"/>
                  <w:vAlign w:val="center"/>
                </w:tcPr>
                <w:p>
                  <w:pPr>
                    <w:adjustRightInd w:val="0"/>
                    <w:snapToGrid w:val="0"/>
                    <w:jc w:val="center"/>
                    <w:rPr>
                      <w:sz w:val="24"/>
                    </w:rPr>
                  </w:pPr>
                  <w:r>
                    <w:rPr>
                      <w:sz w:val="24"/>
                    </w:rPr>
                    <w:t>广州市白云区人和镇西湖村西湖西街54号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sz w:val="24"/>
                    </w:rPr>
                    <w:t>联系电话</w:t>
                  </w:r>
                </w:p>
              </w:tc>
              <w:tc>
                <w:tcPr>
                  <w:tcW w:w="1870" w:type="dxa"/>
                  <w:gridSpan w:val="2"/>
                  <w:tcMar>
                    <w:left w:w="0" w:type="dxa"/>
                    <w:right w:w="0" w:type="dxa"/>
                  </w:tcMar>
                  <w:vAlign w:val="center"/>
                </w:tcPr>
                <w:p>
                  <w:pPr>
                    <w:adjustRightInd w:val="0"/>
                    <w:snapToGrid w:val="0"/>
                    <w:jc w:val="center"/>
                    <w:rPr>
                      <w:sz w:val="24"/>
                    </w:rPr>
                  </w:pPr>
                  <w:r>
                    <w:rPr>
                      <w:sz w:val="24"/>
                    </w:rPr>
                    <w:t>13824471444</w:t>
                  </w:r>
                </w:p>
              </w:tc>
              <w:tc>
                <w:tcPr>
                  <w:tcW w:w="1137" w:type="dxa"/>
                  <w:vAlign w:val="center"/>
                </w:tcPr>
                <w:p>
                  <w:pPr>
                    <w:adjustRightInd w:val="0"/>
                    <w:snapToGrid w:val="0"/>
                    <w:jc w:val="center"/>
                    <w:rPr>
                      <w:sz w:val="24"/>
                    </w:rPr>
                  </w:pPr>
                  <w:r>
                    <w:rPr>
                      <w:sz w:val="24"/>
                    </w:rPr>
                    <w:t>传真</w:t>
                  </w:r>
                </w:p>
              </w:tc>
              <w:tc>
                <w:tcPr>
                  <w:tcW w:w="1602" w:type="dxa"/>
                  <w:gridSpan w:val="2"/>
                  <w:vAlign w:val="center"/>
                </w:tcPr>
                <w:p>
                  <w:pPr>
                    <w:adjustRightInd w:val="0"/>
                    <w:snapToGrid w:val="0"/>
                    <w:jc w:val="center"/>
                    <w:rPr>
                      <w:sz w:val="24"/>
                    </w:rPr>
                  </w:pPr>
                  <w:r>
                    <w:rPr>
                      <w:sz w:val="24"/>
                    </w:rPr>
                    <w:t>-</w:t>
                  </w:r>
                </w:p>
              </w:tc>
              <w:tc>
                <w:tcPr>
                  <w:tcW w:w="1266" w:type="dxa"/>
                  <w:vAlign w:val="center"/>
                </w:tcPr>
                <w:p>
                  <w:pPr>
                    <w:adjustRightInd w:val="0"/>
                    <w:snapToGrid w:val="0"/>
                    <w:jc w:val="center"/>
                    <w:rPr>
                      <w:sz w:val="24"/>
                    </w:rPr>
                  </w:pPr>
                  <w:r>
                    <w:rPr>
                      <w:sz w:val="24"/>
                    </w:rPr>
                    <w:t>邮政编码</w:t>
                  </w:r>
                </w:p>
              </w:tc>
              <w:tc>
                <w:tcPr>
                  <w:tcW w:w="960" w:type="dxa"/>
                  <w:gridSpan w:val="2"/>
                  <w:vAlign w:val="center"/>
                </w:tcPr>
                <w:p>
                  <w:pPr>
                    <w:adjustRightInd w:val="0"/>
                    <w:snapToGrid w:val="0"/>
                    <w:jc w:val="center"/>
                    <w:rPr>
                      <w:sz w:val="24"/>
                    </w:rPr>
                  </w:pPr>
                  <w:r>
                    <w:rPr>
                      <w:sz w:val="24"/>
                    </w:rPr>
                    <w:t>510000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sz w:val="24"/>
                    </w:rPr>
                    <w:t>建设地点</w:t>
                  </w:r>
                </w:p>
              </w:tc>
              <w:tc>
                <w:tcPr>
                  <w:tcW w:w="6835" w:type="dxa"/>
                  <w:gridSpan w:val="8"/>
                  <w:vAlign w:val="center"/>
                </w:tcPr>
                <w:p>
                  <w:pPr>
                    <w:adjustRightInd w:val="0"/>
                    <w:snapToGrid w:val="0"/>
                    <w:jc w:val="center"/>
                    <w:rPr>
                      <w:sz w:val="24"/>
                    </w:rPr>
                  </w:pPr>
                  <w:r>
                    <w:rPr>
                      <w:sz w:val="24"/>
                    </w:rPr>
                    <w:t>广州市白云区人和镇西湖村西湖西街54号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93" w:type="dxa"/>
                  <w:vAlign w:val="center"/>
                </w:tcPr>
                <w:p>
                  <w:pPr>
                    <w:adjustRightInd w:val="0"/>
                    <w:snapToGrid w:val="0"/>
                    <w:jc w:val="center"/>
                    <w:rPr>
                      <w:sz w:val="24"/>
                    </w:rPr>
                  </w:pPr>
                  <w:r>
                    <w:rPr>
                      <w:sz w:val="24"/>
                    </w:rPr>
                    <w:t>立项审批部门</w:t>
                  </w:r>
                </w:p>
              </w:tc>
              <w:tc>
                <w:tcPr>
                  <w:tcW w:w="3007" w:type="dxa"/>
                  <w:gridSpan w:val="3"/>
                  <w:vAlign w:val="center"/>
                </w:tcPr>
                <w:p>
                  <w:pPr>
                    <w:adjustRightInd w:val="0"/>
                    <w:snapToGrid w:val="0"/>
                    <w:jc w:val="center"/>
                    <w:rPr>
                      <w:sz w:val="24"/>
                    </w:rPr>
                  </w:pPr>
                  <w:r>
                    <w:rPr>
                      <w:sz w:val="24"/>
                    </w:rPr>
                    <w:t>——</w:t>
                  </w:r>
                </w:p>
              </w:tc>
              <w:tc>
                <w:tcPr>
                  <w:tcW w:w="1503" w:type="dxa"/>
                  <w:vAlign w:val="center"/>
                </w:tcPr>
                <w:p>
                  <w:pPr>
                    <w:adjustRightInd w:val="0"/>
                    <w:snapToGrid w:val="0"/>
                    <w:jc w:val="center"/>
                    <w:rPr>
                      <w:sz w:val="24"/>
                    </w:rPr>
                  </w:pPr>
                  <w:r>
                    <w:rPr>
                      <w:sz w:val="24"/>
                    </w:rPr>
                    <w:t>批准文号</w:t>
                  </w:r>
                </w:p>
              </w:tc>
              <w:tc>
                <w:tcPr>
                  <w:tcW w:w="2325" w:type="dxa"/>
                  <w:gridSpan w:val="4"/>
                  <w:vAlign w:val="center"/>
                </w:tcPr>
                <w:p>
                  <w:pPr>
                    <w:adjustRightInd w:val="0"/>
                    <w:snapToGrid w:val="0"/>
                    <w:jc w:val="center"/>
                    <w:rPr>
                      <w:sz w:val="24"/>
                    </w:rPr>
                  </w:pP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sz w:val="24"/>
                    </w:rPr>
                    <w:t>建设性质</w:t>
                  </w:r>
                </w:p>
              </w:tc>
              <w:tc>
                <w:tcPr>
                  <w:tcW w:w="3007" w:type="dxa"/>
                  <w:gridSpan w:val="3"/>
                  <w:vAlign w:val="center"/>
                </w:tcPr>
                <w:p>
                  <w:pPr>
                    <w:adjustRightInd w:val="0"/>
                    <w:snapToGrid w:val="0"/>
                    <w:jc w:val="center"/>
                    <w:rPr>
                      <w:sz w:val="24"/>
                    </w:rPr>
                  </w:pPr>
                  <w:r>
                    <w:rPr>
                      <w:sz w:val="24"/>
                      <w:bdr w:val="single" w:color="auto" w:sz="4" w:space="0"/>
                    </w:rPr>
                    <w:t>√</w:t>
                  </w:r>
                  <w:r>
                    <w:rPr>
                      <w:sz w:val="24"/>
                    </w:rPr>
                    <w:t>新建□改扩建□技改</w:t>
                  </w:r>
                </w:p>
              </w:tc>
              <w:tc>
                <w:tcPr>
                  <w:tcW w:w="1503" w:type="dxa"/>
                  <w:vAlign w:val="center"/>
                </w:tcPr>
                <w:p>
                  <w:pPr>
                    <w:adjustRightInd w:val="0"/>
                    <w:snapToGrid w:val="0"/>
                    <w:jc w:val="center"/>
                    <w:rPr>
                      <w:sz w:val="24"/>
                    </w:rPr>
                  </w:pPr>
                  <w:r>
                    <w:rPr>
                      <w:sz w:val="24"/>
                    </w:rPr>
                    <w:t>行业类别</w:t>
                  </w:r>
                </w:p>
                <w:p>
                  <w:pPr>
                    <w:adjustRightInd w:val="0"/>
                    <w:snapToGrid w:val="0"/>
                    <w:jc w:val="center"/>
                    <w:rPr>
                      <w:sz w:val="24"/>
                    </w:rPr>
                  </w:pPr>
                  <w:r>
                    <w:rPr>
                      <w:sz w:val="24"/>
                    </w:rPr>
                    <w:t>及代码</w:t>
                  </w:r>
                </w:p>
              </w:tc>
              <w:tc>
                <w:tcPr>
                  <w:tcW w:w="2325" w:type="dxa"/>
                  <w:gridSpan w:val="4"/>
                  <w:vAlign w:val="center"/>
                </w:tcPr>
                <w:p>
                  <w:pPr>
                    <w:adjustRightInd w:val="0"/>
                    <w:snapToGrid w:val="0"/>
                    <w:jc w:val="center"/>
                    <w:rPr>
                      <w:sz w:val="24"/>
                    </w:rPr>
                  </w:pPr>
                  <w:r>
                    <w:rPr>
                      <w:sz w:val="24"/>
                    </w:rPr>
                    <w:t>C3360 金属表面处理及热处理加工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sz w:val="24"/>
                    </w:rPr>
                    <w:t>占地面积</w:t>
                  </w:r>
                </w:p>
                <w:p>
                  <w:pPr>
                    <w:adjustRightInd w:val="0"/>
                    <w:snapToGrid w:val="0"/>
                    <w:jc w:val="center"/>
                    <w:rPr>
                      <w:sz w:val="24"/>
                    </w:rPr>
                  </w:pPr>
                  <w:r>
                    <w:rPr>
                      <w:sz w:val="24"/>
                    </w:rPr>
                    <w:t>（平方米）</w:t>
                  </w:r>
                </w:p>
              </w:tc>
              <w:tc>
                <w:tcPr>
                  <w:tcW w:w="3007" w:type="dxa"/>
                  <w:gridSpan w:val="3"/>
                  <w:vAlign w:val="center"/>
                </w:tcPr>
                <w:p>
                  <w:pPr>
                    <w:adjustRightInd w:val="0"/>
                    <w:snapToGrid w:val="0"/>
                    <w:jc w:val="center"/>
                    <w:rPr>
                      <w:sz w:val="24"/>
                    </w:rPr>
                  </w:pPr>
                  <w:r>
                    <w:rPr>
                      <w:sz w:val="24"/>
                    </w:rPr>
                    <w:t>1000</w:t>
                  </w:r>
                </w:p>
              </w:tc>
              <w:tc>
                <w:tcPr>
                  <w:tcW w:w="1503" w:type="dxa"/>
                  <w:vAlign w:val="center"/>
                </w:tcPr>
                <w:p>
                  <w:pPr>
                    <w:adjustRightInd w:val="0"/>
                    <w:snapToGrid w:val="0"/>
                    <w:jc w:val="center"/>
                    <w:rPr>
                      <w:sz w:val="24"/>
                    </w:rPr>
                  </w:pPr>
                  <w:r>
                    <w:rPr>
                      <w:sz w:val="24"/>
                    </w:rPr>
                    <w:t>建筑面积</w:t>
                  </w:r>
                </w:p>
                <w:p>
                  <w:pPr>
                    <w:adjustRightInd w:val="0"/>
                    <w:snapToGrid w:val="0"/>
                    <w:jc w:val="center"/>
                    <w:rPr>
                      <w:sz w:val="24"/>
                    </w:rPr>
                  </w:pPr>
                  <w:r>
                    <w:rPr>
                      <w:sz w:val="24"/>
                    </w:rPr>
                    <w:t>（平方米）</w:t>
                  </w:r>
                </w:p>
              </w:tc>
              <w:tc>
                <w:tcPr>
                  <w:tcW w:w="2325" w:type="dxa"/>
                  <w:gridSpan w:val="4"/>
                  <w:vAlign w:val="center"/>
                </w:tcPr>
                <w:p>
                  <w:pPr>
                    <w:adjustRightInd w:val="0"/>
                    <w:snapToGrid w:val="0"/>
                    <w:jc w:val="center"/>
                    <w:rPr>
                      <w:sz w:val="24"/>
                    </w:rPr>
                  </w:pPr>
                  <w:r>
                    <w:rPr>
                      <w:sz w:val="24"/>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sz w:val="24"/>
                    </w:rPr>
                    <w:t>总投资</w:t>
                  </w:r>
                </w:p>
                <w:p>
                  <w:pPr>
                    <w:adjustRightInd w:val="0"/>
                    <w:snapToGrid w:val="0"/>
                    <w:jc w:val="center"/>
                    <w:rPr>
                      <w:sz w:val="24"/>
                    </w:rPr>
                  </w:pPr>
                  <w:r>
                    <w:rPr>
                      <w:sz w:val="24"/>
                    </w:rPr>
                    <w:t>（万元）</w:t>
                  </w:r>
                </w:p>
              </w:tc>
              <w:tc>
                <w:tcPr>
                  <w:tcW w:w="1329" w:type="dxa"/>
                  <w:vAlign w:val="center"/>
                </w:tcPr>
                <w:p>
                  <w:pPr>
                    <w:adjustRightInd w:val="0"/>
                    <w:snapToGrid w:val="0"/>
                    <w:jc w:val="center"/>
                    <w:rPr>
                      <w:sz w:val="24"/>
                    </w:rPr>
                  </w:pPr>
                  <w:r>
                    <w:rPr>
                      <w:sz w:val="24"/>
                    </w:rPr>
                    <w:t>100</w:t>
                  </w:r>
                </w:p>
              </w:tc>
              <w:tc>
                <w:tcPr>
                  <w:tcW w:w="1678" w:type="dxa"/>
                  <w:gridSpan w:val="2"/>
                  <w:vAlign w:val="center"/>
                </w:tcPr>
                <w:p>
                  <w:pPr>
                    <w:adjustRightInd w:val="0"/>
                    <w:snapToGrid w:val="0"/>
                    <w:jc w:val="center"/>
                    <w:rPr>
                      <w:sz w:val="24"/>
                    </w:rPr>
                  </w:pPr>
                  <w:r>
                    <w:rPr>
                      <w:sz w:val="24"/>
                    </w:rPr>
                    <w:t>其中：环保投资（万元）</w:t>
                  </w:r>
                </w:p>
              </w:tc>
              <w:tc>
                <w:tcPr>
                  <w:tcW w:w="1503" w:type="dxa"/>
                  <w:vAlign w:val="center"/>
                </w:tcPr>
                <w:p>
                  <w:pPr>
                    <w:adjustRightInd w:val="0"/>
                    <w:snapToGrid w:val="0"/>
                    <w:jc w:val="center"/>
                    <w:rPr>
                      <w:sz w:val="24"/>
                    </w:rPr>
                  </w:pPr>
                  <w:r>
                    <w:rPr>
                      <w:sz w:val="24"/>
                    </w:rPr>
                    <w:t>20</w:t>
                  </w:r>
                </w:p>
              </w:tc>
              <w:tc>
                <w:tcPr>
                  <w:tcW w:w="1419" w:type="dxa"/>
                  <w:gridSpan w:val="3"/>
                  <w:vAlign w:val="center"/>
                </w:tcPr>
                <w:p>
                  <w:pPr>
                    <w:adjustRightInd w:val="0"/>
                    <w:snapToGrid w:val="0"/>
                    <w:jc w:val="center"/>
                    <w:rPr>
                      <w:sz w:val="24"/>
                    </w:rPr>
                  </w:pPr>
                  <w:r>
                    <w:rPr>
                      <w:sz w:val="24"/>
                    </w:rPr>
                    <w:t>环保投资占总投资比例</w:t>
                  </w:r>
                </w:p>
              </w:tc>
              <w:tc>
                <w:tcPr>
                  <w:tcW w:w="906" w:type="dxa"/>
                  <w:vAlign w:val="center"/>
                </w:tcPr>
                <w:p>
                  <w:pPr>
                    <w:adjustRightInd w:val="0"/>
                    <w:snapToGrid w:val="0"/>
                    <w:ind w:right="2"/>
                    <w:jc w:val="center"/>
                    <w:rPr>
                      <w:sz w:val="24"/>
                    </w:rPr>
                  </w:pPr>
                  <w:r>
                    <w:rPr>
                      <w:sz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atLeast"/>
                <w:jc w:val="center"/>
              </w:trPr>
              <w:tc>
                <w:tcPr>
                  <w:tcW w:w="1693" w:type="dxa"/>
                  <w:vAlign w:val="center"/>
                </w:tcPr>
                <w:p>
                  <w:pPr>
                    <w:adjustRightInd w:val="0"/>
                    <w:snapToGrid w:val="0"/>
                    <w:jc w:val="center"/>
                    <w:rPr>
                      <w:sz w:val="24"/>
                    </w:rPr>
                  </w:pPr>
                  <w:r>
                    <w:rPr>
                      <w:sz w:val="24"/>
                    </w:rPr>
                    <w:t>评价经费</w:t>
                  </w:r>
                </w:p>
                <w:p>
                  <w:pPr>
                    <w:adjustRightInd w:val="0"/>
                    <w:snapToGrid w:val="0"/>
                    <w:jc w:val="center"/>
                    <w:rPr>
                      <w:sz w:val="24"/>
                    </w:rPr>
                  </w:pPr>
                  <w:r>
                    <w:rPr>
                      <w:sz w:val="24"/>
                    </w:rPr>
                    <w:t>（万元）</w:t>
                  </w:r>
                </w:p>
              </w:tc>
              <w:tc>
                <w:tcPr>
                  <w:tcW w:w="3007" w:type="dxa"/>
                  <w:gridSpan w:val="3"/>
                  <w:vAlign w:val="center"/>
                </w:tcPr>
                <w:p>
                  <w:pPr>
                    <w:adjustRightInd w:val="0"/>
                    <w:snapToGrid w:val="0"/>
                    <w:jc w:val="center"/>
                    <w:rPr>
                      <w:sz w:val="24"/>
                    </w:rPr>
                  </w:pPr>
                  <w:r>
                    <w:rPr>
                      <w:sz w:val="24"/>
                    </w:rPr>
                    <w:t>2</w:t>
                  </w:r>
                </w:p>
              </w:tc>
              <w:tc>
                <w:tcPr>
                  <w:tcW w:w="1503" w:type="dxa"/>
                  <w:vAlign w:val="center"/>
                </w:tcPr>
                <w:p>
                  <w:pPr>
                    <w:adjustRightInd w:val="0"/>
                    <w:snapToGrid w:val="0"/>
                    <w:jc w:val="center"/>
                    <w:rPr>
                      <w:sz w:val="24"/>
                    </w:rPr>
                  </w:pPr>
                  <w:r>
                    <w:rPr>
                      <w:sz w:val="24"/>
                    </w:rPr>
                    <w:t>投产日期</w:t>
                  </w:r>
                </w:p>
              </w:tc>
              <w:tc>
                <w:tcPr>
                  <w:tcW w:w="2325" w:type="dxa"/>
                  <w:gridSpan w:val="4"/>
                  <w:vAlign w:val="center"/>
                </w:tcPr>
                <w:p>
                  <w:pPr>
                    <w:adjustRightInd w:val="0"/>
                    <w:snapToGrid w:val="0"/>
                    <w:jc w:val="center"/>
                    <w:rPr>
                      <w:sz w:val="24"/>
                    </w:rPr>
                  </w:pPr>
                  <w:r>
                    <w:rPr>
                      <w:sz w:val="24"/>
                    </w:rPr>
                    <w:t>2019.</w:t>
                  </w:r>
                  <w:r>
                    <w:rPr>
                      <w:rFonts w:hint="eastAsia"/>
                      <w:sz w:val="24"/>
                    </w:rPr>
                    <w:t>7</w:t>
                  </w:r>
                </w:p>
              </w:tc>
            </w:tr>
          </w:tbl>
          <w:p>
            <w:pPr>
              <w:adjustRightInd w:val="0"/>
              <w:snapToGrid w:val="0"/>
              <w:spacing w:line="360" w:lineRule="auto"/>
              <w:rPr>
                <w:b/>
                <w:sz w:val="28"/>
              </w:rPr>
            </w:pPr>
            <w:r>
              <w:rPr>
                <w:b/>
                <w:sz w:val="28"/>
              </w:rPr>
              <w:t>工程内容及规模：</w:t>
            </w:r>
          </w:p>
          <w:p>
            <w:pPr>
              <w:numPr>
                <w:ilvl w:val="0"/>
                <w:numId w:val="1"/>
              </w:numPr>
              <w:adjustRightInd w:val="0"/>
              <w:snapToGrid w:val="0"/>
              <w:spacing w:line="360" w:lineRule="auto"/>
              <w:ind w:firstLine="482" w:firstLineChars="200"/>
              <w:rPr>
                <w:sz w:val="24"/>
              </w:rPr>
            </w:pPr>
            <w:r>
              <w:rPr>
                <w:b/>
                <w:bCs/>
                <w:sz w:val="24"/>
              </w:rPr>
              <w:t>项目概况</w:t>
            </w:r>
          </w:p>
          <w:p>
            <w:pPr>
              <w:pStyle w:val="8"/>
              <w:snapToGrid/>
              <w:ind w:firstLine="480"/>
              <w:rPr>
                <w:rFonts w:hint="eastAsia" w:ascii="Times New Roman"/>
                <w:sz w:val="24"/>
                <w:lang w:val="en-US" w:eastAsia="zh-CN"/>
              </w:rPr>
            </w:pPr>
            <w:r>
              <w:rPr>
                <w:rFonts w:ascii="Times New Roman"/>
                <w:sz w:val="24"/>
              </w:rPr>
              <w:t>广州昇宏五金制品有限公司建设项目（以下简称“本项目”）</w:t>
            </w:r>
            <w:r>
              <w:rPr>
                <w:rFonts w:ascii="Times New Roman"/>
                <w:sz w:val="24"/>
                <w:szCs w:val="24"/>
              </w:rPr>
              <w:t>租用</w:t>
            </w:r>
            <w:r>
              <w:rPr>
                <w:rFonts w:ascii="Times New Roman"/>
                <w:sz w:val="24"/>
              </w:rPr>
              <w:t>广州市白云区人和镇西湖村西湖西街54号</w:t>
            </w:r>
            <w:r>
              <w:rPr>
                <w:rFonts w:ascii="Times New Roman"/>
                <w:sz w:val="24"/>
                <w:szCs w:val="24"/>
              </w:rPr>
              <w:t>进行生产经营，</w:t>
            </w:r>
            <w:r>
              <w:rPr>
                <w:rFonts w:hint="eastAsia" w:ascii="Times New Roman"/>
                <w:sz w:val="24"/>
                <w:szCs w:val="24"/>
                <w:lang w:val="en-US" w:eastAsia="zh-CN"/>
              </w:rPr>
              <w:t>成立于2019年2月，</w:t>
            </w:r>
            <w:r>
              <w:rPr>
                <w:rFonts w:ascii="Times New Roman"/>
                <w:sz w:val="24"/>
                <w:szCs w:val="24"/>
              </w:rPr>
              <w:t>主要经营范围为电脑机箱五金件的加工，主要建筑物为1栋单层生产车间，占地面积1000平方米，建筑面积1000平方米，总投资100万元，其中环保投资20万元。</w:t>
            </w:r>
            <w:r>
              <w:rPr>
                <w:rFonts w:ascii="Times New Roman"/>
                <w:sz w:val="24"/>
              </w:rPr>
              <w:t>项目主要以树脂粉末、五金件等为原料，通过挂件、预热、喷粉、烘干等工序进行五金件喷涂加工生产，预计</w:t>
            </w:r>
            <w:r>
              <w:rPr>
                <w:rFonts w:hint="eastAsia" w:ascii="Times New Roman"/>
                <w:bCs/>
                <w:sz w:val="24"/>
              </w:rPr>
              <w:t>年喷粉五金件约为100吨</w:t>
            </w:r>
            <w:r>
              <w:rPr>
                <w:rFonts w:ascii="Times New Roman"/>
                <w:sz w:val="24"/>
                <w:szCs w:val="24"/>
              </w:rPr>
              <w:t>。</w:t>
            </w:r>
            <w:r>
              <w:rPr>
                <w:rFonts w:ascii="Times New Roman"/>
                <w:bCs/>
                <w:sz w:val="24"/>
              </w:rPr>
              <w:t>项目拟</w:t>
            </w:r>
            <w:r>
              <w:rPr>
                <w:rStyle w:val="19"/>
                <w:rFonts w:ascii="Times New Roman"/>
                <w:kern w:val="0"/>
                <w:sz w:val="24"/>
                <w:szCs w:val="24"/>
              </w:rPr>
              <w:t>设</w:t>
            </w:r>
            <w:r>
              <w:rPr>
                <w:rFonts w:ascii="Times New Roman"/>
                <w:sz w:val="24"/>
              </w:rPr>
              <w:t>员工25人，均不在厂内食宿，年生产300天，每天一班制，一班8小时。本项目不设备用柴油发电机、冷却塔、锅炉和中央空调等</w:t>
            </w:r>
            <w:r>
              <w:rPr>
                <w:rFonts w:hint="eastAsia" w:ascii="Times New Roman"/>
                <w:sz w:val="24"/>
                <w:lang w:eastAsia="zh-CN"/>
              </w:rPr>
              <w:t>，</w:t>
            </w:r>
            <w:r>
              <w:rPr>
                <w:rFonts w:hint="eastAsia" w:ascii="Times New Roman"/>
                <w:sz w:val="24"/>
                <w:lang w:val="en-US" w:eastAsia="zh-CN"/>
              </w:rPr>
              <w:t>本项目为新建项目，暂未投入使用。</w:t>
            </w:r>
          </w:p>
          <w:p>
            <w:pPr>
              <w:pStyle w:val="8"/>
              <w:snapToGrid/>
              <w:ind w:firstLine="480"/>
              <w:rPr>
                <w:rFonts w:hint="default" w:ascii="Times New Roman" w:hAnsi="Times New Roman" w:cs="Times New Roman"/>
                <w:sz w:val="24"/>
              </w:rPr>
            </w:pPr>
            <w:r>
              <w:rPr>
                <w:sz w:val="24"/>
              </w:rPr>
              <w:t>为了对建设项目实施后可能造成的环境影响进行分析、预测和评估，依据《中华人民共和国环境保护法》、《中华人民共和国环境影响评价法》、《建设项目环境保护管理条例》、《广东省建设项目环境保护管理条例》中有关规定，一切可能对环境产生影响的新建、扩建或改建项目必须实行环境影响评价审批制度。根据《建设项目环境影响评价分类管理名录》（2017年本及2018年4月28日修订）》</w:t>
            </w:r>
            <w:r>
              <w:rPr>
                <w:kern w:val="0"/>
                <w:sz w:val="24"/>
              </w:rPr>
              <w:t>，本项目属于“二十二、金属制品业”“68、金属制品表面处理及热处理加工--其他”，生产过程中不含有电镀工艺；不使用有机涂层（喷粉、喷塑和电泳除外）；没有钝化工艺的热镀锌，因此需编制建设项目环境影响报告表，现办理环境影响评价文件</w:t>
            </w:r>
            <w:r>
              <w:rPr>
                <w:rFonts w:hint="default" w:ascii="Times New Roman" w:hAnsi="Times New Roman" w:cs="Times New Roman"/>
                <w:kern w:val="0"/>
                <w:sz w:val="24"/>
              </w:rPr>
              <w:t>报批手续，完善项目环境保护管理。</w:t>
            </w:r>
          </w:p>
          <w:p>
            <w:pPr>
              <w:numPr>
                <w:ilvl w:val="0"/>
                <w:numId w:val="1"/>
              </w:numPr>
              <w:adjustRightInd w:val="0"/>
              <w:snapToGrid w:val="0"/>
              <w:spacing w:line="360" w:lineRule="auto"/>
              <w:ind w:firstLine="520" w:firstLineChars="216"/>
              <w:rPr>
                <w:rFonts w:hint="default" w:ascii="Times New Roman" w:hAnsi="Times New Roman" w:cs="Times New Roman"/>
                <w:b/>
                <w:bCs/>
                <w:sz w:val="24"/>
              </w:rPr>
            </w:pPr>
            <w:r>
              <w:rPr>
                <w:rFonts w:hint="default" w:ascii="Times New Roman" w:hAnsi="Times New Roman" w:cs="Times New Roman"/>
                <w:b/>
                <w:bCs/>
                <w:sz w:val="24"/>
              </w:rPr>
              <w:t>建设项目地理位置及四至情况</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本项目位于广州市白云区人和镇西湖村西湖西街54号，项目中心地理坐标为：东经113.251031°</w:t>
            </w:r>
            <w:r>
              <w:rPr>
                <w:rFonts w:hint="eastAsia" w:cs="Times New Roman"/>
                <w:sz w:val="24"/>
                <w:lang w:eastAsia="zh-CN"/>
              </w:rPr>
              <w:t>，</w:t>
            </w:r>
            <w:r>
              <w:rPr>
                <w:rFonts w:hint="default" w:ascii="Times New Roman" w:hAnsi="Times New Roman" w:cs="Times New Roman"/>
                <w:sz w:val="24"/>
              </w:rPr>
              <w:t>北纬23.301622°，建设项目地理位置见附图一。</w:t>
            </w:r>
          </w:p>
          <w:p>
            <w:pPr>
              <w:pStyle w:val="8"/>
              <w:snapToGrid/>
              <w:ind w:firstLine="480"/>
              <w:rPr>
                <w:rFonts w:hint="default" w:ascii="Times New Roman" w:hAnsi="Times New Roman" w:cs="Times New Roman"/>
                <w:sz w:val="24"/>
                <w:szCs w:val="24"/>
              </w:rPr>
            </w:pPr>
            <w:r>
              <w:rPr>
                <w:rFonts w:hint="default" w:ascii="Times New Roman" w:hAnsi="Times New Roman" w:cs="Times New Roman"/>
                <w:sz w:val="24"/>
                <w:szCs w:val="24"/>
              </w:rPr>
              <w:t>项目东侧为工业企业，南面为工业企业，西面为荒废的建筑，北面相邻为工业企业。项目四至及噪声监测布点见附图二，项目周边环境现状见附图三。</w:t>
            </w:r>
          </w:p>
          <w:p>
            <w:pPr>
              <w:numPr>
                <w:ilvl w:val="0"/>
                <w:numId w:val="1"/>
              </w:numPr>
              <w:adjustRightInd w:val="0"/>
              <w:snapToGrid w:val="0"/>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rPr>
              <w:t>建设内容与生产规模</w:t>
            </w:r>
          </w:p>
          <w:p>
            <w:pPr>
              <w:pStyle w:val="8"/>
              <w:numPr>
                <w:ilvl w:val="0"/>
                <w:numId w:val="2"/>
              </w:numPr>
              <w:snapToGrid/>
              <w:ind w:firstLine="482"/>
              <w:rPr>
                <w:rFonts w:hint="default" w:ascii="Times New Roman" w:hAnsi="Times New Roman" w:cs="Times New Roman"/>
                <w:b/>
                <w:bCs/>
                <w:sz w:val="24"/>
                <w:szCs w:val="24"/>
              </w:rPr>
            </w:pPr>
            <w:r>
              <w:rPr>
                <w:rFonts w:hint="default" w:ascii="Times New Roman" w:hAnsi="Times New Roman" w:cs="Times New Roman"/>
                <w:b/>
                <w:bCs/>
                <w:sz w:val="24"/>
                <w:szCs w:val="24"/>
              </w:rPr>
              <w:t>项目建设内容</w:t>
            </w:r>
          </w:p>
          <w:p>
            <w:pPr>
              <w:pStyle w:val="8"/>
              <w:snapToGrid/>
              <w:ind w:left="480" w:firstLine="0" w:firstLineChars="0"/>
              <w:rPr>
                <w:rFonts w:ascii="Times New Roman"/>
                <w:caps w:val="0"/>
                <w:sz w:val="24"/>
                <w:szCs w:val="21"/>
              </w:rPr>
            </w:pPr>
            <w:r>
              <w:rPr>
                <w:rFonts w:ascii="Times New Roman"/>
                <w:sz w:val="24"/>
                <w:szCs w:val="24"/>
              </w:rPr>
              <w:t>项目主要对电脑机箱五金件进行加工，年加工</w:t>
            </w:r>
            <w:r>
              <w:rPr>
                <w:rFonts w:ascii="Times New Roman"/>
                <w:caps w:val="0"/>
                <w:sz w:val="24"/>
                <w:szCs w:val="21"/>
              </w:rPr>
              <w:t>100t五金件。</w:t>
            </w:r>
          </w:p>
          <w:p>
            <w:pPr>
              <w:jc w:val="center"/>
              <w:rPr>
                <w:b/>
                <w:bCs/>
              </w:rPr>
            </w:pPr>
            <w:r>
              <w:rPr>
                <w:b/>
                <w:bCs/>
              </w:rPr>
              <w:t>表1-1  主要产品规模</w:t>
            </w:r>
          </w:p>
          <w:tbl>
            <w:tblPr>
              <w:tblStyle w:val="15"/>
              <w:tblW w:w="83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122"/>
              <w:gridCol w:w="915"/>
              <w:gridCol w:w="55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750" w:type="dxa"/>
                  <w:tcBorders>
                    <w:tl2br w:val="nil"/>
                    <w:tr2bl w:val="nil"/>
                  </w:tcBorders>
                  <w:vAlign w:val="center"/>
                </w:tcPr>
                <w:p>
                  <w:pPr>
                    <w:spacing w:line="320" w:lineRule="exact"/>
                    <w:jc w:val="center"/>
                    <w:rPr>
                      <w:szCs w:val="21"/>
                    </w:rPr>
                  </w:pPr>
                  <w:r>
                    <w:rPr>
                      <w:szCs w:val="21"/>
                    </w:rPr>
                    <w:t>序号</w:t>
                  </w:r>
                </w:p>
              </w:tc>
              <w:tc>
                <w:tcPr>
                  <w:tcW w:w="1122" w:type="dxa"/>
                  <w:tcBorders>
                    <w:tl2br w:val="nil"/>
                    <w:tr2bl w:val="nil"/>
                  </w:tcBorders>
                  <w:vAlign w:val="center"/>
                </w:tcPr>
                <w:p>
                  <w:pPr>
                    <w:spacing w:line="320" w:lineRule="exact"/>
                    <w:jc w:val="center"/>
                    <w:rPr>
                      <w:szCs w:val="21"/>
                    </w:rPr>
                  </w:pPr>
                  <w:r>
                    <w:rPr>
                      <w:szCs w:val="21"/>
                    </w:rPr>
                    <w:t>产品名称</w:t>
                  </w:r>
                </w:p>
              </w:tc>
              <w:tc>
                <w:tcPr>
                  <w:tcW w:w="915" w:type="dxa"/>
                  <w:tcBorders>
                    <w:tl2br w:val="nil"/>
                    <w:tr2bl w:val="nil"/>
                  </w:tcBorders>
                  <w:vAlign w:val="center"/>
                </w:tcPr>
                <w:p>
                  <w:pPr>
                    <w:spacing w:line="320" w:lineRule="exact"/>
                    <w:jc w:val="center"/>
                    <w:rPr>
                      <w:szCs w:val="21"/>
                    </w:rPr>
                  </w:pPr>
                  <w:r>
                    <w:rPr>
                      <w:szCs w:val="21"/>
                    </w:rPr>
                    <w:t>年产量</w:t>
                  </w:r>
                </w:p>
              </w:tc>
              <w:tc>
                <w:tcPr>
                  <w:tcW w:w="5535" w:type="dxa"/>
                  <w:tcBorders>
                    <w:tl2br w:val="nil"/>
                    <w:tr2bl w:val="nil"/>
                  </w:tcBorders>
                  <w:vAlign w:val="center"/>
                </w:tcPr>
                <w:p>
                  <w:pPr>
                    <w:spacing w:line="320" w:lineRule="exact"/>
                    <w:jc w:val="center"/>
                    <w:rPr>
                      <w:szCs w:val="21"/>
                    </w:rPr>
                  </w:pPr>
                  <w:r>
                    <w:rPr>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750" w:type="dxa"/>
                  <w:tcBorders>
                    <w:tl2br w:val="nil"/>
                    <w:tr2bl w:val="nil"/>
                  </w:tcBorders>
                  <w:vAlign w:val="center"/>
                </w:tcPr>
                <w:p>
                  <w:pPr>
                    <w:spacing w:line="320" w:lineRule="exact"/>
                    <w:jc w:val="center"/>
                    <w:rPr>
                      <w:szCs w:val="21"/>
                    </w:rPr>
                  </w:pPr>
                  <w:r>
                    <w:rPr>
                      <w:szCs w:val="21"/>
                    </w:rPr>
                    <w:t>1</w:t>
                  </w:r>
                </w:p>
              </w:tc>
              <w:tc>
                <w:tcPr>
                  <w:tcW w:w="1122" w:type="dxa"/>
                  <w:tcBorders>
                    <w:tl2br w:val="nil"/>
                    <w:tr2bl w:val="nil"/>
                  </w:tcBorders>
                  <w:vAlign w:val="center"/>
                </w:tcPr>
                <w:p>
                  <w:pPr>
                    <w:spacing w:line="320" w:lineRule="exact"/>
                    <w:jc w:val="center"/>
                    <w:rPr>
                      <w:szCs w:val="21"/>
                    </w:rPr>
                  </w:pPr>
                  <w:r>
                    <w:rPr>
                      <w:szCs w:val="21"/>
                    </w:rPr>
                    <w:t>五金件</w:t>
                  </w:r>
                </w:p>
              </w:tc>
              <w:tc>
                <w:tcPr>
                  <w:tcW w:w="915" w:type="dxa"/>
                  <w:tcBorders>
                    <w:tl2br w:val="nil"/>
                    <w:tr2bl w:val="nil"/>
                  </w:tcBorders>
                  <w:vAlign w:val="center"/>
                </w:tcPr>
                <w:p>
                  <w:pPr>
                    <w:spacing w:line="320" w:lineRule="exact"/>
                    <w:jc w:val="center"/>
                    <w:rPr>
                      <w:szCs w:val="21"/>
                    </w:rPr>
                  </w:pPr>
                  <w:r>
                    <w:rPr>
                      <w:szCs w:val="21"/>
                    </w:rPr>
                    <w:t>100t</w:t>
                  </w:r>
                </w:p>
              </w:tc>
              <w:tc>
                <w:tcPr>
                  <w:tcW w:w="5535" w:type="dxa"/>
                  <w:tcBorders>
                    <w:tl2br w:val="nil"/>
                    <w:tr2bl w:val="nil"/>
                  </w:tcBorders>
                  <w:vAlign w:val="center"/>
                </w:tcPr>
                <w:p>
                  <w:pPr>
                    <w:spacing w:line="320" w:lineRule="exact"/>
                    <w:jc w:val="center"/>
                    <w:rPr>
                      <w:szCs w:val="21"/>
                    </w:rPr>
                  </w:pPr>
                  <w:r>
                    <w:rPr>
                      <w:szCs w:val="21"/>
                    </w:rPr>
                    <w:t>本项目仅进行喷粉工序，需要前处理的工件外发处理，本项目内不进行预处理工序，不涉及酸洗、磷化、水洗工序。</w:t>
                  </w:r>
                </w:p>
              </w:tc>
            </w:tr>
          </w:tbl>
          <w:p>
            <w:pPr>
              <w:pStyle w:val="8"/>
              <w:snapToGrid/>
              <w:ind w:left="480" w:firstLine="0" w:firstLineChars="0"/>
              <w:rPr>
                <w:rFonts w:ascii="Times New Roman"/>
                <w:caps w:val="0"/>
                <w:sz w:val="24"/>
                <w:szCs w:val="21"/>
              </w:rPr>
            </w:pPr>
            <w:r>
              <w:rPr>
                <w:rFonts w:ascii="Times New Roman"/>
                <w:caps w:val="0"/>
                <w:sz w:val="24"/>
                <w:szCs w:val="21"/>
              </w:rPr>
              <w:t>项目总投资100万元，其中环保投资20万元。环保投资具体详细下表：</w:t>
            </w:r>
          </w:p>
          <w:p>
            <w:pPr>
              <w:jc w:val="center"/>
              <w:rPr>
                <w:b/>
                <w:bCs/>
              </w:rPr>
            </w:pPr>
            <w:r>
              <w:rPr>
                <w:b/>
                <w:bCs/>
              </w:rPr>
              <w:t>表 1-2  环保投资明细表</w:t>
            </w:r>
          </w:p>
          <w:tbl>
            <w:tblPr>
              <w:tblStyle w:val="15"/>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4"/>
              <w:gridCol w:w="40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4284" w:type="dxa"/>
                  <w:vAlign w:val="center"/>
                </w:tcPr>
                <w:p>
                  <w:pPr>
                    <w:jc w:val="center"/>
                  </w:pPr>
                  <w:r>
                    <w:t>类别</w:t>
                  </w:r>
                </w:p>
              </w:tc>
              <w:tc>
                <w:tcPr>
                  <w:tcW w:w="4012" w:type="dxa"/>
                  <w:vAlign w:val="center"/>
                </w:tcPr>
                <w:p>
                  <w:pPr>
                    <w:jc w:val="center"/>
                  </w:pPr>
                  <w:r>
                    <w:t>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4284" w:type="dxa"/>
                  <w:vAlign w:val="center"/>
                </w:tcPr>
                <w:p>
                  <w:pPr>
                    <w:jc w:val="center"/>
                  </w:pPr>
                  <w:r>
                    <w:t>环保投资</w:t>
                  </w:r>
                </w:p>
              </w:tc>
              <w:tc>
                <w:tcPr>
                  <w:tcW w:w="4012" w:type="dxa"/>
                  <w:vAlign w:val="center"/>
                </w:tcPr>
                <w:p>
                  <w:pPr>
                    <w:jc w:val="center"/>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4284" w:type="dxa"/>
                  <w:vAlign w:val="center"/>
                </w:tcPr>
                <w:p>
                  <w:pPr>
                    <w:jc w:val="center"/>
                  </w:pPr>
                  <w:r>
                    <w:t>其中：废水治理环保投资</w:t>
                  </w:r>
                </w:p>
              </w:tc>
              <w:tc>
                <w:tcPr>
                  <w:tcW w:w="4012" w:type="dxa"/>
                  <w:vAlign w:val="center"/>
                </w:tcPr>
                <w:p>
                  <w:pPr>
                    <w:jc w:val="cente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4284" w:type="dxa"/>
                  <w:vAlign w:val="center"/>
                </w:tcPr>
                <w:p>
                  <w:pPr>
                    <w:jc w:val="center"/>
                  </w:pPr>
                  <w:r>
                    <w:t>废气治理环保投资</w:t>
                  </w:r>
                </w:p>
              </w:tc>
              <w:tc>
                <w:tcPr>
                  <w:tcW w:w="4012" w:type="dxa"/>
                  <w:vAlign w:val="center"/>
                </w:tcPr>
                <w:p>
                  <w:pPr>
                    <w:jc w:val="center"/>
                  </w:pPr>
                  <w: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4284" w:type="dxa"/>
                  <w:vAlign w:val="center"/>
                </w:tcPr>
                <w:p>
                  <w:pPr>
                    <w:jc w:val="center"/>
                  </w:pPr>
                  <w:r>
                    <w:t>噪声治理环保投资</w:t>
                  </w:r>
                </w:p>
              </w:tc>
              <w:tc>
                <w:tcPr>
                  <w:tcW w:w="4012" w:type="dxa"/>
                  <w:vAlign w:val="center"/>
                </w:tcPr>
                <w:p>
                  <w:pPr>
                    <w:jc w:val="center"/>
                  </w:pP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4284" w:type="dxa"/>
                  <w:vAlign w:val="center"/>
                </w:tcPr>
                <w:p>
                  <w:pPr>
                    <w:jc w:val="center"/>
                  </w:pPr>
                  <w:r>
                    <w:t>绿化及生态环保投资</w:t>
                  </w:r>
                </w:p>
              </w:tc>
              <w:tc>
                <w:tcPr>
                  <w:tcW w:w="4012" w:type="dxa"/>
                  <w:vAlign w:val="center"/>
                </w:tcPr>
                <w:p>
                  <w:pPr>
                    <w:jc w:val="center"/>
                  </w:pP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4284" w:type="dxa"/>
                  <w:vAlign w:val="center"/>
                </w:tcPr>
                <w:p>
                  <w:pPr>
                    <w:jc w:val="center"/>
                  </w:pPr>
                  <w:r>
                    <w:t>其他环保投资</w:t>
                  </w:r>
                </w:p>
              </w:tc>
              <w:tc>
                <w:tcPr>
                  <w:tcW w:w="4012" w:type="dxa"/>
                  <w:vAlign w:val="center"/>
                </w:tcPr>
                <w:p>
                  <w:pPr>
                    <w:jc w:val="center"/>
                  </w:pPr>
                  <w:r>
                    <w:t>4</w:t>
                  </w:r>
                </w:p>
              </w:tc>
            </w:tr>
          </w:tbl>
          <w:p>
            <w:pPr>
              <w:pStyle w:val="8"/>
              <w:numPr>
                <w:ilvl w:val="0"/>
                <w:numId w:val="2"/>
              </w:numPr>
              <w:snapToGrid/>
              <w:ind w:firstLine="482"/>
              <w:rPr>
                <w:rFonts w:ascii="Times New Roman"/>
                <w:b/>
                <w:bCs/>
                <w:sz w:val="24"/>
                <w:szCs w:val="24"/>
              </w:rPr>
            </w:pPr>
            <w:r>
              <w:rPr>
                <w:rFonts w:ascii="Times New Roman"/>
                <w:b/>
                <w:bCs/>
                <w:sz w:val="24"/>
                <w:szCs w:val="24"/>
              </w:rPr>
              <w:t>平面布置</w:t>
            </w:r>
          </w:p>
          <w:p>
            <w:pPr>
              <w:spacing w:line="360" w:lineRule="auto"/>
              <w:ind w:firstLine="480" w:firstLineChars="200"/>
              <w:rPr>
                <w:sz w:val="24"/>
              </w:rPr>
            </w:pPr>
            <w:r>
              <w:rPr>
                <w:sz w:val="24"/>
              </w:rPr>
              <w:t>项目有一栋单层生产车间。具体见下表，平面图见附图五。</w:t>
            </w:r>
          </w:p>
          <w:p>
            <w:pPr>
              <w:adjustRightInd w:val="0"/>
              <w:snapToGrid w:val="0"/>
              <w:jc w:val="center"/>
              <w:rPr>
                <w:b/>
                <w:szCs w:val="21"/>
              </w:rPr>
            </w:pPr>
            <w:r>
              <w:rPr>
                <w:b/>
                <w:szCs w:val="21"/>
              </w:rPr>
              <w:t>表1-3  项目建筑一览表</w:t>
            </w:r>
          </w:p>
          <w:tbl>
            <w:tblPr>
              <w:tblStyle w:val="15"/>
              <w:tblW w:w="7934" w:type="dxa"/>
              <w:jc w:val="center"/>
              <w:tblInd w:w="5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8"/>
              <w:gridCol w:w="1482"/>
              <w:gridCol w:w="1133"/>
              <w:gridCol w:w="1733"/>
              <w:gridCol w:w="2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978" w:type="dxa"/>
                </w:tcPr>
                <w:p>
                  <w:pPr>
                    <w:spacing w:line="320" w:lineRule="exact"/>
                    <w:jc w:val="center"/>
                    <w:rPr>
                      <w:szCs w:val="21"/>
                    </w:rPr>
                  </w:pPr>
                  <w:r>
                    <w:rPr>
                      <w:szCs w:val="21"/>
                    </w:rPr>
                    <w:t>序号</w:t>
                  </w:r>
                </w:p>
              </w:tc>
              <w:tc>
                <w:tcPr>
                  <w:tcW w:w="1482" w:type="dxa"/>
                </w:tcPr>
                <w:p>
                  <w:pPr>
                    <w:spacing w:line="320" w:lineRule="exact"/>
                    <w:jc w:val="center"/>
                    <w:rPr>
                      <w:szCs w:val="21"/>
                    </w:rPr>
                  </w:pPr>
                  <w:r>
                    <w:rPr>
                      <w:szCs w:val="21"/>
                    </w:rPr>
                    <w:t>建筑</w:t>
                  </w:r>
                </w:p>
              </w:tc>
              <w:tc>
                <w:tcPr>
                  <w:tcW w:w="1133" w:type="dxa"/>
                </w:tcPr>
                <w:p>
                  <w:pPr>
                    <w:spacing w:line="320" w:lineRule="exact"/>
                    <w:jc w:val="center"/>
                    <w:rPr>
                      <w:szCs w:val="21"/>
                    </w:rPr>
                  </w:pPr>
                  <w:r>
                    <w:rPr>
                      <w:szCs w:val="21"/>
                    </w:rPr>
                    <w:t>层数</w:t>
                  </w:r>
                </w:p>
              </w:tc>
              <w:tc>
                <w:tcPr>
                  <w:tcW w:w="1733" w:type="dxa"/>
                </w:tcPr>
                <w:p>
                  <w:pPr>
                    <w:spacing w:line="320" w:lineRule="exact"/>
                    <w:jc w:val="center"/>
                    <w:rPr>
                      <w:szCs w:val="21"/>
                    </w:rPr>
                  </w:pPr>
                  <w:r>
                    <w:rPr>
                      <w:szCs w:val="21"/>
                    </w:rPr>
                    <w:t>建筑面积</w:t>
                  </w:r>
                </w:p>
              </w:tc>
              <w:tc>
                <w:tcPr>
                  <w:tcW w:w="2608" w:type="dxa"/>
                </w:tcPr>
                <w:p>
                  <w:pPr>
                    <w:spacing w:line="320" w:lineRule="exact"/>
                    <w:jc w:val="center"/>
                    <w:rPr>
                      <w:szCs w:val="21"/>
                    </w:rPr>
                  </w:pPr>
                  <w:r>
                    <w:rPr>
                      <w:szCs w:val="21"/>
                    </w:rPr>
                    <w:t>建筑内容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978" w:type="dxa"/>
                </w:tcPr>
                <w:p>
                  <w:pPr>
                    <w:spacing w:line="320" w:lineRule="exact"/>
                    <w:jc w:val="center"/>
                    <w:rPr>
                      <w:szCs w:val="21"/>
                    </w:rPr>
                  </w:pPr>
                  <w:r>
                    <w:rPr>
                      <w:szCs w:val="21"/>
                    </w:rPr>
                    <w:t>1</w:t>
                  </w:r>
                </w:p>
              </w:tc>
              <w:tc>
                <w:tcPr>
                  <w:tcW w:w="1482" w:type="dxa"/>
                </w:tcPr>
                <w:p>
                  <w:pPr>
                    <w:spacing w:line="320" w:lineRule="exact"/>
                    <w:jc w:val="center"/>
                    <w:rPr>
                      <w:szCs w:val="21"/>
                    </w:rPr>
                  </w:pPr>
                  <w:r>
                    <w:rPr>
                      <w:szCs w:val="21"/>
                    </w:rPr>
                    <w:t>生产车间</w:t>
                  </w:r>
                </w:p>
              </w:tc>
              <w:tc>
                <w:tcPr>
                  <w:tcW w:w="1133" w:type="dxa"/>
                </w:tcPr>
                <w:p>
                  <w:pPr>
                    <w:spacing w:line="320" w:lineRule="exact"/>
                    <w:jc w:val="center"/>
                    <w:rPr>
                      <w:szCs w:val="21"/>
                    </w:rPr>
                  </w:pPr>
                  <w:r>
                    <w:rPr>
                      <w:szCs w:val="21"/>
                    </w:rPr>
                    <w:t>1层</w:t>
                  </w:r>
                </w:p>
              </w:tc>
              <w:tc>
                <w:tcPr>
                  <w:tcW w:w="1733" w:type="dxa"/>
                </w:tcPr>
                <w:p>
                  <w:pPr>
                    <w:spacing w:line="320" w:lineRule="exact"/>
                    <w:jc w:val="center"/>
                    <w:rPr>
                      <w:szCs w:val="21"/>
                    </w:rPr>
                  </w:pPr>
                  <w:r>
                    <w:rPr>
                      <w:rFonts w:hint="eastAsia"/>
                      <w:szCs w:val="21"/>
                    </w:rPr>
                    <w:t>10</w:t>
                  </w:r>
                  <w:r>
                    <w:rPr>
                      <w:szCs w:val="21"/>
                    </w:rPr>
                    <w:t>00m</w:t>
                  </w:r>
                  <w:r>
                    <w:rPr>
                      <w:szCs w:val="21"/>
                      <w:vertAlign w:val="superscript"/>
                    </w:rPr>
                    <w:t>2</w:t>
                  </w:r>
                </w:p>
              </w:tc>
              <w:tc>
                <w:tcPr>
                  <w:tcW w:w="2608" w:type="dxa"/>
                </w:tcPr>
                <w:p>
                  <w:pPr>
                    <w:spacing w:line="320" w:lineRule="exact"/>
                    <w:jc w:val="center"/>
                    <w:rPr>
                      <w:szCs w:val="21"/>
                    </w:rPr>
                  </w:pPr>
                  <w:r>
                    <w:rPr>
                      <w:szCs w:val="21"/>
                    </w:rPr>
                    <w:t>生产车间</w:t>
                  </w:r>
                </w:p>
              </w:tc>
            </w:tr>
          </w:tbl>
          <w:p>
            <w:pPr>
              <w:pStyle w:val="8"/>
              <w:numPr>
                <w:ilvl w:val="0"/>
                <w:numId w:val="2"/>
              </w:numPr>
              <w:snapToGrid/>
              <w:ind w:firstLine="482"/>
              <w:rPr>
                <w:rFonts w:ascii="Times New Roman"/>
                <w:b/>
                <w:bCs/>
                <w:sz w:val="24"/>
                <w:szCs w:val="24"/>
              </w:rPr>
            </w:pPr>
            <w:r>
              <w:rPr>
                <w:rFonts w:ascii="Times New Roman"/>
                <w:b/>
                <w:bCs/>
                <w:sz w:val="24"/>
                <w:szCs w:val="24"/>
              </w:rPr>
              <w:t>原辅材料</w:t>
            </w:r>
          </w:p>
          <w:p>
            <w:pPr>
              <w:pStyle w:val="8"/>
              <w:snapToGrid/>
              <w:ind w:left="480" w:firstLine="0" w:firstLineChars="0"/>
              <w:rPr>
                <w:rFonts w:ascii="Times New Roman"/>
                <w:sz w:val="24"/>
                <w:szCs w:val="24"/>
              </w:rPr>
            </w:pPr>
            <w:r>
              <w:rPr>
                <w:rFonts w:ascii="Times New Roman"/>
                <w:sz w:val="24"/>
                <w:szCs w:val="24"/>
              </w:rPr>
              <w:t>项目生产所使用的原辅材料见下表</w:t>
            </w:r>
            <w:r>
              <w:rPr>
                <w:rFonts w:hint="eastAsia" w:ascii="Times New Roman"/>
                <w:sz w:val="24"/>
                <w:szCs w:val="24"/>
              </w:rPr>
              <w:t>：</w:t>
            </w:r>
          </w:p>
          <w:p>
            <w:pPr>
              <w:pStyle w:val="8"/>
              <w:snapToGrid/>
              <w:spacing w:line="240" w:lineRule="auto"/>
              <w:ind w:firstLine="0" w:firstLineChars="0"/>
              <w:jc w:val="center"/>
              <w:rPr>
                <w:rFonts w:ascii="Times New Roman"/>
                <w:b/>
                <w:caps w:val="0"/>
                <w:sz w:val="21"/>
                <w:szCs w:val="21"/>
              </w:rPr>
            </w:pPr>
            <w:r>
              <w:rPr>
                <w:rFonts w:ascii="Times New Roman"/>
                <w:b/>
                <w:caps w:val="0"/>
                <w:sz w:val="21"/>
                <w:szCs w:val="21"/>
              </w:rPr>
              <w:t>表1-4 主要原辅材料一览表</w:t>
            </w:r>
          </w:p>
          <w:tbl>
            <w:tblPr>
              <w:tblStyle w:val="15"/>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1658"/>
              <w:gridCol w:w="1324"/>
              <w:gridCol w:w="990"/>
              <w:gridCol w:w="1703"/>
              <w:gridCol w:w="1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1" w:hRule="atLeast"/>
                <w:jc w:val="center"/>
              </w:trPr>
              <w:tc>
                <w:tcPr>
                  <w:tcW w:w="789" w:type="dxa"/>
                  <w:vAlign w:val="center"/>
                </w:tcPr>
                <w:p>
                  <w:pPr>
                    <w:spacing w:line="360" w:lineRule="exact"/>
                    <w:jc w:val="center"/>
                    <w:rPr>
                      <w:szCs w:val="21"/>
                    </w:rPr>
                  </w:pPr>
                  <w:r>
                    <w:rPr>
                      <w:szCs w:val="21"/>
                    </w:rPr>
                    <w:t>序号</w:t>
                  </w:r>
                </w:p>
              </w:tc>
              <w:tc>
                <w:tcPr>
                  <w:tcW w:w="1658" w:type="dxa"/>
                  <w:vAlign w:val="center"/>
                </w:tcPr>
                <w:p>
                  <w:pPr>
                    <w:spacing w:line="360" w:lineRule="exact"/>
                    <w:jc w:val="center"/>
                    <w:rPr>
                      <w:szCs w:val="21"/>
                    </w:rPr>
                  </w:pPr>
                  <w:r>
                    <w:rPr>
                      <w:szCs w:val="21"/>
                    </w:rPr>
                    <w:t>名称</w:t>
                  </w:r>
                </w:p>
              </w:tc>
              <w:tc>
                <w:tcPr>
                  <w:tcW w:w="1324" w:type="dxa"/>
                  <w:vAlign w:val="center"/>
                </w:tcPr>
                <w:p>
                  <w:pPr>
                    <w:spacing w:line="360" w:lineRule="exact"/>
                    <w:jc w:val="center"/>
                    <w:rPr>
                      <w:szCs w:val="21"/>
                    </w:rPr>
                  </w:pPr>
                  <w:r>
                    <w:rPr>
                      <w:szCs w:val="21"/>
                    </w:rPr>
                    <w:t>规格</w:t>
                  </w:r>
                </w:p>
              </w:tc>
              <w:tc>
                <w:tcPr>
                  <w:tcW w:w="990" w:type="dxa"/>
                  <w:vAlign w:val="center"/>
                </w:tcPr>
                <w:p>
                  <w:pPr>
                    <w:spacing w:line="360" w:lineRule="exact"/>
                    <w:jc w:val="center"/>
                    <w:rPr>
                      <w:szCs w:val="21"/>
                    </w:rPr>
                  </w:pPr>
                  <w:r>
                    <w:rPr>
                      <w:szCs w:val="21"/>
                    </w:rPr>
                    <w:t>性状</w:t>
                  </w:r>
                </w:p>
              </w:tc>
              <w:tc>
                <w:tcPr>
                  <w:tcW w:w="1703" w:type="dxa"/>
                  <w:vAlign w:val="center"/>
                </w:tcPr>
                <w:p>
                  <w:pPr>
                    <w:spacing w:line="360" w:lineRule="exact"/>
                    <w:jc w:val="center"/>
                    <w:rPr>
                      <w:szCs w:val="21"/>
                    </w:rPr>
                  </w:pPr>
                  <w:r>
                    <w:rPr>
                      <w:szCs w:val="21"/>
                    </w:rPr>
                    <w:t>年用量</w:t>
                  </w:r>
                </w:p>
              </w:tc>
              <w:tc>
                <w:tcPr>
                  <w:tcW w:w="1832" w:type="dxa"/>
                  <w:vAlign w:val="center"/>
                </w:tcPr>
                <w:p>
                  <w:pPr>
                    <w:spacing w:line="360" w:lineRule="exact"/>
                    <w:jc w:val="center"/>
                    <w:rPr>
                      <w:szCs w:val="21"/>
                    </w:rPr>
                  </w:pPr>
                  <w:r>
                    <w:rPr>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1" w:hRule="atLeast"/>
                <w:jc w:val="center"/>
              </w:trPr>
              <w:tc>
                <w:tcPr>
                  <w:tcW w:w="789" w:type="dxa"/>
                  <w:vAlign w:val="center"/>
                </w:tcPr>
                <w:p>
                  <w:pPr>
                    <w:spacing w:line="240" w:lineRule="auto"/>
                    <w:jc w:val="center"/>
                    <w:rPr>
                      <w:szCs w:val="21"/>
                    </w:rPr>
                  </w:pPr>
                  <w:r>
                    <w:rPr>
                      <w:szCs w:val="21"/>
                    </w:rPr>
                    <w:t>1</w:t>
                  </w:r>
                </w:p>
              </w:tc>
              <w:tc>
                <w:tcPr>
                  <w:tcW w:w="1658" w:type="dxa"/>
                  <w:vAlign w:val="center"/>
                </w:tcPr>
                <w:p>
                  <w:pPr>
                    <w:spacing w:line="240" w:lineRule="auto"/>
                    <w:jc w:val="center"/>
                    <w:rPr>
                      <w:szCs w:val="21"/>
                    </w:rPr>
                  </w:pPr>
                  <w:r>
                    <w:rPr>
                      <w:szCs w:val="21"/>
                    </w:rPr>
                    <w:t>五金件</w:t>
                  </w:r>
                </w:p>
              </w:tc>
              <w:tc>
                <w:tcPr>
                  <w:tcW w:w="1324" w:type="dxa"/>
                  <w:vAlign w:val="center"/>
                </w:tcPr>
                <w:p>
                  <w:pPr>
                    <w:spacing w:line="240" w:lineRule="auto"/>
                    <w:jc w:val="center"/>
                    <w:rPr>
                      <w:szCs w:val="21"/>
                    </w:rPr>
                  </w:pPr>
                  <w:r>
                    <w:rPr>
                      <w:szCs w:val="21"/>
                    </w:rPr>
                    <w:t>20kg/袋</w:t>
                  </w:r>
                </w:p>
              </w:tc>
              <w:tc>
                <w:tcPr>
                  <w:tcW w:w="990" w:type="dxa"/>
                  <w:vAlign w:val="center"/>
                </w:tcPr>
                <w:p>
                  <w:pPr>
                    <w:spacing w:line="240" w:lineRule="auto"/>
                    <w:jc w:val="center"/>
                    <w:rPr>
                      <w:szCs w:val="21"/>
                    </w:rPr>
                  </w:pPr>
                  <w:r>
                    <w:rPr>
                      <w:szCs w:val="21"/>
                    </w:rPr>
                    <w:t>固体</w:t>
                  </w:r>
                </w:p>
              </w:tc>
              <w:tc>
                <w:tcPr>
                  <w:tcW w:w="1703" w:type="dxa"/>
                  <w:vAlign w:val="center"/>
                </w:tcPr>
                <w:p>
                  <w:pPr>
                    <w:spacing w:line="240" w:lineRule="auto"/>
                    <w:jc w:val="center"/>
                    <w:rPr>
                      <w:szCs w:val="21"/>
                    </w:rPr>
                  </w:pPr>
                  <w:r>
                    <w:rPr>
                      <w:szCs w:val="21"/>
                    </w:rPr>
                    <w:t>100t/a</w:t>
                  </w:r>
                </w:p>
              </w:tc>
              <w:tc>
                <w:tcPr>
                  <w:tcW w:w="1832" w:type="dxa"/>
                  <w:vAlign w:val="center"/>
                </w:tcPr>
                <w:p>
                  <w:pPr>
                    <w:spacing w:line="240" w:lineRule="auto"/>
                    <w:jc w:val="center"/>
                    <w:rPr>
                      <w:szCs w:val="21"/>
                    </w:rPr>
                  </w:pPr>
                  <w:r>
                    <w:rPr>
                      <w:szCs w:val="21"/>
                    </w:rPr>
                    <w:t>五金件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8" w:hRule="atLeast"/>
                <w:jc w:val="center"/>
              </w:trPr>
              <w:tc>
                <w:tcPr>
                  <w:tcW w:w="789" w:type="dxa"/>
                  <w:vAlign w:val="center"/>
                </w:tcPr>
                <w:p>
                  <w:pPr>
                    <w:spacing w:line="240" w:lineRule="auto"/>
                    <w:jc w:val="center"/>
                    <w:rPr>
                      <w:szCs w:val="21"/>
                    </w:rPr>
                  </w:pPr>
                  <w:r>
                    <w:rPr>
                      <w:szCs w:val="21"/>
                    </w:rPr>
                    <w:t>2</w:t>
                  </w:r>
                </w:p>
              </w:tc>
              <w:tc>
                <w:tcPr>
                  <w:tcW w:w="1658" w:type="dxa"/>
                  <w:vAlign w:val="center"/>
                </w:tcPr>
                <w:p>
                  <w:pPr>
                    <w:spacing w:line="240" w:lineRule="auto"/>
                    <w:jc w:val="center"/>
                    <w:rPr>
                      <w:szCs w:val="21"/>
                    </w:rPr>
                  </w:pPr>
                  <w:r>
                    <w:rPr>
                      <w:szCs w:val="21"/>
                    </w:rPr>
                    <w:t>粉末涂料</w:t>
                  </w:r>
                </w:p>
              </w:tc>
              <w:tc>
                <w:tcPr>
                  <w:tcW w:w="1324" w:type="dxa"/>
                  <w:vAlign w:val="center"/>
                </w:tcPr>
                <w:p>
                  <w:pPr>
                    <w:spacing w:line="240" w:lineRule="auto"/>
                    <w:jc w:val="center"/>
                    <w:rPr>
                      <w:szCs w:val="21"/>
                    </w:rPr>
                  </w:pPr>
                  <w:r>
                    <w:rPr>
                      <w:szCs w:val="21"/>
                    </w:rPr>
                    <w:t>20kg/桶</w:t>
                  </w:r>
                </w:p>
              </w:tc>
              <w:tc>
                <w:tcPr>
                  <w:tcW w:w="990" w:type="dxa"/>
                  <w:vAlign w:val="center"/>
                </w:tcPr>
                <w:p>
                  <w:pPr>
                    <w:spacing w:line="240" w:lineRule="auto"/>
                    <w:jc w:val="center"/>
                    <w:rPr>
                      <w:szCs w:val="21"/>
                    </w:rPr>
                  </w:pPr>
                  <w:r>
                    <w:rPr>
                      <w:szCs w:val="21"/>
                    </w:rPr>
                    <w:t>粉末</w:t>
                  </w:r>
                </w:p>
              </w:tc>
              <w:tc>
                <w:tcPr>
                  <w:tcW w:w="1703" w:type="dxa"/>
                  <w:vAlign w:val="center"/>
                </w:tcPr>
                <w:p>
                  <w:pPr>
                    <w:spacing w:line="240" w:lineRule="auto"/>
                    <w:jc w:val="center"/>
                    <w:rPr>
                      <w:szCs w:val="21"/>
                    </w:rPr>
                  </w:pPr>
                  <w:r>
                    <w:rPr>
                      <w:rFonts w:hint="eastAsia"/>
                      <w:szCs w:val="21"/>
                      <w:lang w:val="en-US" w:eastAsia="zh-CN"/>
                    </w:rPr>
                    <w:t>2</w:t>
                  </w:r>
                  <w:r>
                    <w:rPr>
                      <w:szCs w:val="21"/>
                    </w:rPr>
                    <w:t>0t/a</w:t>
                  </w:r>
                </w:p>
              </w:tc>
              <w:tc>
                <w:tcPr>
                  <w:tcW w:w="1832" w:type="dxa"/>
                  <w:vAlign w:val="center"/>
                </w:tcPr>
                <w:p>
                  <w:pPr>
                    <w:spacing w:line="240" w:lineRule="auto"/>
                    <w:jc w:val="center"/>
                    <w:rPr>
                      <w:szCs w:val="21"/>
                    </w:rPr>
                  </w:pPr>
                  <w:r>
                    <w:rPr>
                      <w:szCs w:val="21"/>
                    </w:rPr>
                    <w:t>喷粉工艺</w:t>
                  </w:r>
                </w:p>
              </w:tc>
            </w:tr>
          </w:tbl>
          <w:p>
            <w:pPr>
              <w:spacing w:line="360" w:lineRule="auto"/>
              <w:ind w:firstLine="482" w:firstLineChars="200"/>
              <w:rPr>
                <w:b/>
                <w:sz w:val="24"/>
              </w:rPr>
            </w:pPr>
            <w:r>
              <w:rPr>
                <w:b/>
                <w:sz w:val="24"/>
              </w:rPr>
              <w:t>主要原辅材料成分说明如下：</w:t>
            </w:r>
          </w:p>
          <w:p>
            <w:pPr>
              <w:spacing w:line="360" w:lineRule="auto"/>
              <w:ind w:firstLine="482" w:firstLineChars="200"/>
              <w:rPr>
                <w:sz w:val="24"/>
              </w:rPr>
            </w:pPr>
            <w:r>
              <w:rPr>
                <w:b/>
                <w:sz w:val="24"/>
              </w:rPr>
              <w:t>粉末涂料：</w:t>
            </w:r>
            <w:r>
              <w:rPr>
                <w:bCs/>
                <w:sz w:val="24"/>
              </w:rPr>
              <w:t>由环氧树脂30%、聚酯树脂30%、颜料（无机颜料）12%、硫酸钡（填料）28%。环氧树脂粉末指的是凡分子结构中含有环氧基团的高分子化合物统称为环氧树脂。固化后的环氧树脂具有良好的物理、化学性能，它对金属和非金属材料的表面具有优异的粘接强度，介电性能良好，变定收缩率小，制品尺寸稳定性好，硬度高，柔韧性较好，对碱及大部分溶剂稳定。本项目的粉末涂料MSDS见附件5所示。</w:t>
            </w:r>
          </w:p>
          <w:p>
            <w:pPr>
              <w:pStyle w:val="8"/>
              <w:numPr>
                <w:ilvl w:val="0"/>
                <w:numId w:val="2"/>
              </w:numPr>
              <w:snapToGrid/>
              <w:ind w:firstLine="482"/>
              <w:rPr>
                <w:rFonts w:ascii="Times New Roman"/>
                <w:b/>
                <w:bCs/>
                <w:sz w:val="24"/>
                <w:szCs w:val="24"/>
              </w:rPr>
            </w:pPr>
            <w:r>
              <w:rPr>
                <w:rFonts w:ascii="Times New Roman"/>
                <w:b/>
                <w:bCs/>
                <w:sz w:val="24"/>
                <w:szCs w:val="24"/>
              </w:rPr>
              <w:t>主要生产设备</w:t>
            </w:r>
          </w:p>
          <w:p>
            <w:pPr>
              <w:adjustRightInd w:val="0"/>
              <w:snapToGrid w:val="0"/>
              <w:spacing w:line="360" w:lineRule="auto"/>
              <w:jc w:val="center"/>
              <w:rPr>
                <w:b/>
                <w:szCs w:val="21"/>
              </w:rPr>
            </w:pPr>
            <w:r>
              <w:rPr>
                <w:b/>
                <w:szCs w:val="21"/>
              </w:rPr>
              <w:t>表1-5 项目生产设备情况一览表</w:t>
            </w:r>
          </w:p>
          <w:tbl>
            <w:tblPr>
              <w:tblStyle w:val="15"/>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2"/>
              <w:gridCol w:w="2357"/>
              <w:gridCol w:w="1241"/>
              <w:gridCol w:w="1849"/>
              <w:gridCol w:w="2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2" w:type="dxa"/>
                  <w:vAlign w:val="center"/>
                </w:tcPr>
                <w:p>
                  <w:pPr>
                    <w:spacing w:line="240" w:lineRule="auto"/>
                    <w:jc w:val="center"/>
                    <w:rPr>
                      <w:szCs w:val="21"/>
                    </w:rPr>
                  </w:pPr>
                  <w:r>
                    <w:rPr>
                      <w:szCs w:val="21"/>
                    </w:rPr>
                    <w:t>序号</w:t>
                  </w:r>
                </w:p>
              </w:tc>
              <w:tc>
                <w:tcPr>
                  <w:tcW w:w="2357" w:type="dxa"/>
                  <w:vAlign w:val="center"/>
                </w:tcPr>
                <w:p>
                  <w:pPr>
                    <w:spacing w:line="240" w:lineRule="auto"/>
                    <w:jc w:val="center"/>
                    <w:rPr>
                      <w:szCs w:val="21"/>
                    </w:rPr>
                  </w:pPr>
                  <w:r>
                    <w:rPr>
                      <w:szCs w:val="21"/>
                    </w:rPr>
                    <w:t>名称</w:t>
                  </w:r>
                </w:p>
              </w:tc>
              <w:tc>
                <w:tcPr>
                  <w:tcW w:w="1241" w:type="dxa"/>
                  <w:vAlign w:val="center"/>
                </w:tcPr>
                <w:p>
                  <w:pPr>
                    <w:spacing w:line="240" w:lineRule="auto"/>
                    <w:jc w:val="center"/>
                    <w:rPr>
                      <w:szCs w:val="21"/>
                    </w:rPr>
                  </w:pPr>
                  <w:r>
                    <w:rPr>
                      <w:szCs w:val="21"/>
                    </w:rPr>
                    <w:t>数量</w:t>
                  </w:r>
                </w:p>
              </w:tc>
              <w:tc>
                <w:tcPr>
                  <w:tcW w:w="1849" w:type="dxa"/>
                  <w:vAlign w:val="center"/>
                </w:tcPr>
                <w:p>
                  <w:pPr>
                    <w:spacing w:line="240" w:lineRule="auto"/>
                    <w:jc w:val="center"/>
                    <w:rPr>
                      <w:szCs w:val="21"/>
                    </w:rPr>
                  </w:pPr>
                  <w:r>
                    <w:rPr>
                      <w:szCs w:val="21"/>
                    </w:rPr>
                    <w:t>备注</w:t>
                  </w:r>
                </w:p>
              </w:tc>
              <w:tc>
                <w:tcPr>
                  <w:tcW w:w="2067" w:type="dxa"/>
                  <w:vAlign w:val="center"/>
                </w:tcPr>
                <w:p>
                  <w:pPr>
                    <w:spacing w:line="240" w:lineRule="auto"/>
                    <w:jc w:val="center"/>
                    <w:rPr>
                      <w:szCs w:val="21"/>
                    </w:rPr>
                  </w:pPr>
                  <w:r>
                    <w:rPr>
                      <w:szCs w:val="21"/>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2" w:type="dxa"/>
                  <w:vAlign w:val="center"/>
                </w:tcPr>
                <w:p>
                  <w:pPr>
                    <w:numPr>
                      <w:ilvl w:val="0"/>
                      <w:numId w:val="3"/>
                    </w:numPr>
                    <w:spacing w:line="240" w:lineRule="auto"/>
                    <w:ind w:left="567"/>
                    <w:jc w:val="center"/>
                    <w:rPr>
                      <w:szCs w:val="21"/>
                    </w:rPr>
                  </w:pPr>
                </w:p>
              </w:tc>
              <w:tc>
                <w:tcPr>
                  <w:tcW w:w="2357" w:type="dxa"/>
                  <w:vAlign w:val="center"/>
                </w:tcPr>
                <w:p>
                  <w:pPr>
                    <w:spacing w:line="240" w:lineRule="auto"/>
                    <w:jc w:val="center"/>
                    <w:rPr>
                      <w:szCs w:val="21"/>
                    </w:rPr>
                  </w:pPr>
                  <w:r>
                    <w:rPr>
                      <w:szCs w:val="21"/>
                    </w:rPr>
                    <w:t>炉窑固化线</w:t>
                  </w:r>
                </w:p>
              </w:tc>
              <w:tc>
                <w:tcPr>
                  <w:tcW w:w="1241" w:type="dxa"/>
                  <w:vAlign w:val="center"/>
                </w:tcPr>
                <w:p>
                  <w:pPr>
                    <w:spacing w:line="240" w:lineRule="auto"/>
                    <w:jc w:val="center"/>
                    <w:rPr>
                      <w:szCs w:val="21"/>
                    </w:rPr>
                  </w:pPr>
                  <w:r>
                    <w:rPr>
                      <w:szCs w:val="21"/>
                    </w:rPr>
                    <w:t>2条</w:t>
                  </w:r>
                </w:p>
              </w:tc>
              <w:tc>
                <w:tcPr>
                  <w:tcW w:w="1849" w:type="dxa"/>
                  <w:vAlign w:val="center"/>
                </w:tcPr>
                <w:p>
                  <w:pPr>
                    <w:spacing w:line="240" w:lineRule="auto"/>
                    <w:jc w:val="center"/>
                    <w:rPr>
                      <w:szCs w:val="21"/>
                    </w:rPr>
                  </w:pPr>
                  <w:r>
                    <w:rPr>
                      <w:szCs w:val="21"/>
                    </w:rPr>
                    <w:t>固化</w:t>
                  </w:r>
                </w:p>
              </w:tc>
              <w:tc>
                <w:tcPr>
                  <w:tcW w:w="2067" w:type="dxa"/>
                  <w:vAlign w:val="center"/>
                </w:tcPr>
                <w:p>
                  <w:pPr>
                    <w:spacing w:line="240" w:lineRule="auto"/>
                    <w:jc w:val="center"/>
                    <w:rPr>
                      <w:szCs w:val="21"/>
                    </w:rPr>
                  </w:pPr>
                  <w:r>
                    <w:rPr>
                      <w:szCs w:val="21"/>
                    </w:rPr>
                    <w:t>25m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2" w:type="dxa"/>
                  <w:vAlign w:val="center"/>
                </w:tcPr>
                <w:p>
                  <w:pPr>
                    <w:numPr>
                      <w:ilvl w:val="0"/>
                      <w:numId w:val="3"/>
                    </w:numPr>
                    <w:spacing w:line="240" w:lineRule="auto"/>
                    <w:ind w:left="567"/>
                    <w:jc w:val="center"/>
                    <w:rPr>
                      <w:szCs w:val="21"/>
                    </w:rPr>
                  </w:pPr>
                </w:p>
              </w:tc>
              <w:tc>
                <w:tcPr>
                  <w:tcW w:w="2357" w:type="dxa"/>
                  <w:vAlign w:val="center"/>
                </w:tcPr>
                <w:p>
                  <w:pPr>
                    <w:spacing w:line="240" w:lineRule="auto"/>
                    <w:jc w:val="center"/>
                    <w:rPr>
                      <w:szCs w:val="21"/>
                    </w:rPr>
                  </w:pPr>
                  <w:r>
                    <w:rPr>
                      <w:szCs w:val="21"/>
                    </w:rPr>
                    <w:t>喷粉箱</w:t>
                  </w:r>
                </w:p>
              </w:tc>
              <w:tc>
                <w:tcPr>
                  <w:tcW w:w="1241" w:type="dxa"/>
                  <w:vAlign w:val="center"/>
                </w:tcPr>
                <w:p>
                  <w:pPr>
                    <w:spacing w:line="240" w:lineRule="auto"/>
                    <w:jc w:val="center"/>
                    <w:rPr>
                      <w:szCs w:val="21"/>
                    </w:rPr>
                  </w:pPr>
                  <w:r>
                    <w:rPr>
                      <w:szCs w:val="21"/>
                    </w:rPr>
                    <w:t>4个</w:t>
                  </w:r>
                </w:p>
              </w:tc>
              <w:tc>
                <w:tcPr>
                  <w:tcW w:w="1849" w:type="dxa"/>
                  <w:vAlign w:val="center"/>
                </w:tcPr>
                <w:p>
                  <w:pPr>
                    <w:spacing w:line="240" w:lineRule="auto"/>
                    <w:jc w:val="center"/>
                    <w:rPr>
                      <w:szCs w:val="21"/>
                    </w:rPr>
                  </w:pPr>
                  <w:r>
                    <w:rPr>
                      <w:szCs w:val="21"/>
                    </w:rPr>
                    <w:t>喷涂</w:t>
                  </w:r>
                </w:p>
              </w:tc>
              <w:tc>
                <w:tcPr>
                  <w:tcW w:w="2067" w:type="dxa"/>
                  <w:vAlign w:val="center"/>
                </w:tcPr>
                <w:p>
                  <w:pPr>
                    <w:spacing w:line="240" w:lineRule="auto"/>
                    <w:jc w:val="center"/>
                    <w:rPr>
                      <w:szCs w:val="21"/>
                    </w:rPr>
                  </w:pPr>
                  <w:r>
                    <w:rPr>
                      <w:szCs w:val="21"/>
                    </w:rPr>
                    <w:t>8m×2m×2m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82" w:type="dxa"/>
                  <w:vAlign w:val="center"/>
                </w:tcPr>
                <w:p>
                  <w:pPr>
                    <w:numPr>
                      <w:ilvl w:val="0"/>
                      <w:numId w:val="3"/>
                    </w:numPr>
                    <w:spacing w:line="240" w:lineRule="auto"/>
                    <w:ind w:left="567"/>
                    <w:jc w:val="center"/>
                    <w:rPr>
                      <w:szCs w:val="21"/>
                    </w:rPr>
                  </w:pPr>
                </w:p>
              </w:tc>
              <w:tc>
                <w:tcPr>
                  <w:tcW w:w="2357" w:type="dxa"/>
                  <w:vAlign w:val="center"/>
                </w:tcPr>
                <w:p>
                  <w:pPr>
                    <w:spacing w:line="240" w:lineRule="auto"/>
                    <w:jc w:val="center"/>
                    <w:rPr>
                      <w:rFonts w:hint="eastAsia" w:eastAsia="宋体"/>
                      <w:szCs w:val="21"/>
                      <w:lang w:val="en-US" w:eastAsia="zh-CN"/>
                    </w:rPr>
                  </w:pPr>
                  <w:r>
                    <w:rPr>
                      <w:rFonts w:hint="eastAsia"/>
                      <w:szCs w:val="21"/>
                      <w:lang w:val="en-US" w:eastAsia="zh-CN"/>
                    </w:rPr>
                    <w:t>喷枪</w:t>
                  </w:r>
                </w:p>
              </w:tc>
              <w:tc>
                <w:tcPr>
                  <w:tcW w:w="1241" w:type="dxa"/>
                  <w:vAlign w:val="center"/>
                </w:tcPr>
                <w:p>
                  <w:pPr>
                    <w:spacing w:line="240" w:lineRule="auto"/>
                    <w:jc w:val="center"/>
                    <w:rPr>
                      <w:rFonts w:hint="default" w:eastAsia="宋体"/>
                      <w:szCs w:val="21"/>
                      <w:lang w:val="en-US" w:eastAsia="zh-CN"/>
                    </w:rPr>
                  </w:pPr>
                  <w:r>
                    <w:rPr>
                      <w:rFonts w:hint="eastAsia"/>
                      <w:szCs w:val="21"/>
                      <w:lang w:val="en-US" w:eastAsia="zh-CN"/>
                    </w:rPr>
                    <w:t>8支</w:t>
                  </w:r>
                </w:p>
              </w:tc>
              <w:tc>
                <w:tcPr>
                  <w:tcW w:w="1849" w:type="dxa"/>
                  <w:vAlign w:val="center"/>
                </w:tcPr>
                <w:p>
                  <w:pPr>
                    <w:spacing w:line="240" w:lineRule="auto"/>
                    <w:jc w:val="center"/>
                    <w:rPr>
                      <w:rFonts w:hint="eastAsia" w:eastAsia="宋体"/>
                      <w:szCs w:val="21"/>
                      <w:lang w:val="en-US" w:eastAsia="zh-CN"/>
                    </w:rPr>
                  </w:pPr>
                  <w:r>
                    <w:rPr>
                      <w:rFonts w:hint="eastAsia"/>
                      <w:szCs w:val="21"/>
                      <w:lang w:val="en-US" w:eastAsia="zh-CN"/>
                    </w:rPr>
                    <w:t>喷涂</w:t>
                  </w:r>
                </w:p>
              </w:tc>
              <w:tc>
                <w:tcPr>
                  <w:tcW w:w="2067" w:type="dxa"/>
                  <w:vAlign w:val="center"/>
                </w:tcPr>
                <w:p>
                  <w:pPr>
                    <w:spacing w:line="240" w:lineRule="auto"/>
                    <w:jc w:val="center"/>
                    <w:rPr>
                      <w:rFonts w:hint="default" w:eastAsia="宋体"/>
                      <w:szCs w:val="21"/>
                      <w:lang w:val="en-US" w:eastAsia="zh-CN"/>
                    </w:rPr>
                  </w:pPr>
                  <w:r>
                    <w:rPr>
                      <w:rFonts w:hint="eastAsia"/>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2" w:type="dxa"/>
                  <w:vAlign w:val="center"/>
                </w:tcPr>
                <w:p>
                  <w:pPr>
                    <w:numPr>
                      <w:ilvl w:val="0"/>
                      <w:numId w:val="3"/>
                    </w:numPr>
                    <w:spacing w:line="240" w:lineRule="auto"/>
                    <w:ind w:left="567"/>
                    <w:jc w:val="center"/>
                    <w:rPr>
                      <w:szCs w:val="21"/>
                    </w:rPr>
                  </w:pPr>
                </w:p>
              </w:tc>
              <w:tc>
                <w:tcPr>
                  <w:tcW w:w="2357" w:type="dxa"/>
                  <w:vAlign w:val="center"/>
                </w:tcPr>
                <w:p>
                  <w:pPr>
                    <w:spacing w:line="240" w:lineRule="auto"/>
                    <w:jc w:val="center"/>
                    <w:rPr>
                      <w:szCs w:val="21"/>
                    </w:rPr>
                  </w:pPr>
                  <w:r>
                    <w:rPr>
                      <w:szCs w:val="21"/>
                    </w:rPr>
                    <w:t>空压机</w:t>
                  </w:r>
                </w:p>
              </w:tc>
              <w:tc>
                <w:tcPr>
                  <w:tcW w:w="1241" w:type="dxa"/>
                  <w:vAlign w:val="center"/>
                </w:tcPr>
                <w:p>
                  <w:pPr>
                    <w:spacing w:line="240" w:lineRule="auto"/>
                    <w:jc w:val="center"/>
                    <w:rPr>
                      <w:szCs w:val="21"/>
                    </w:rPr>
                  </w:pPr>
                  <w:r>
                    <w:rPr>
                      <w:szCs w:val="21"/>
                    </w:rPr>
                    <w:t>1台</w:t>
                  </w:r>
                </w:p>
              </w:tc>
              <w:tc>
                <w:tcPr>
                  <w:tcW w:w="1849" w:type="dxa"/>
                  <w:vAlign w:val="center"/>
                </w:tcPr>
                <w:p>
                  <w:pPr>
                    <w:spacing w:line="240" w:lineRule="auto"/>
                    <w:jc w:val="center"/>
                    <w:rPr>
                      <w:szCs w:val="21"/>
                    </w:rPr>
                  </w:pPr>
                  <w:r>
                    <w:rPr>
                      <w:szCs w:val="21"/>
                    </w:rPr>
                    <w:t>工件吹尘</w:t>
                  </w:r>
                </w:p>
              </w:tc>
              <w:tc>
                <w:tcPr>
                  <w:tcW w:w="2067" w:type="dxa"/>
                  <w:vAlign w:val="center"/>
                </w:tcPr>
                <w:p>
                  <w:pPr>
                    <w:spacing w:line="240" w:lineRule="auto"/>
                    <w:jc w:val="center"/>
                    <w:rPr>
                      <w:szCs w:val="21"/>
                    </w:rPr>
                  </w:pPr>
                  <w:r>
                    <w:rPr>
                      <w:szCs w:val="21"/>
                    </w:rPr>
                    <w:t>22kw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4" w:hRule="atLeast"/>
              </w:trPr>
              <w:tc>
                <w:tcPr>
                  <w:tcW w:w="782" w:type="dxa"/>
                  <w:vAlign w:val="center"/>
                </w:tcPr>
                <w:p>
                  <w:pPr>
                    <w:numPr>
                      <w:ilvl w:val="0"/>
                      <w:numId w:val="3"/>
                    </w:numPr>
                    <w:spacing w:line="240" w:lineRule="auto"/>
                    <w:ind w:left="567"/>
                    <w:jc w:val="center"/>
                    <w:rPr>
                      <w:szCs w:val="21"/>
                    </w:rPr>
                  </w:pPr>
                </w:p>
              </w:tc>
              <w:tc>
                <w:tcPr>
                  <w:tcW w:w="2357" w:type="dxa"/>
                  <w:vAlign w:val="center"/>
                </w:tcPr>
                <w:p>
                  <w:pPr>
                    <w:spacing w:line="240" w:lineRule="auto"/>
                    <w:jc w:val="center"/>
                    <w:rPr>
                      <w:rFonts w:hint="eastAsia" w:eastAsia="宋体"/>
                      <w:szCs w:val="21"/>
                      <w:lang w:eastAsia="zh-CN"/>
                    </w:rPr>
                  </w:pPr>
                  <w:r>
                    <w:rPr>
                      <w:rFonts w:hint="eastAsia"/>
                      <w:szCs w:val="21"/>
                    </w:rPr>
                    <w:t>燃烧</w:t>
                  </w:r>
                  <w:r>
                    <w:rPr>
                      <w:rFonts w:hint="eastAsia"/>
                      <w:szCs w:val="21"/>
                      <w:lang w:val="en-US" w:eastAsia="zh-CN"/>
                    </w:rPr>
                    <w:t>机</w:t>
                  </w:r>
                </w:p>
              </w:tc>
              <w:tc>
                <w:tcPr>
                  <w:tcW w:w="1241" w:type="dxa"/>
                  <w:vAlign w:val="center"/>
                </w:tcPr>
                <w:p>
                  <w:pPr>
                    <w:spacing w:line="240" w:lineRule="auto"/>
                    <w:jc w:val="center"/>
                    <w:rPr>
                      <w:szCs w:val="21"/>
                    </w:rPr>
                  </w:pPr>
                  <w:r>
                    <w:rPr>
                      <w:szCs w:val="21"/>
                    </w:rPr>
                    <w:t>1台</w:t>
                  </w:r>
                </w:p>
              </w:tc>
              <w:tc>
                <w:tcPr>
                  <w:tcW w:w="1849" w:type="dxa"/>
                  <w:vAlign w:val="center"/>
                </w:tcPr>
                <w:p>
                  <w:pPr>
                    <w:spacing w:line="240" w:lineRule="auto"/>
                    <w:jc w:val="center"/>
                    <w:rPr>
                      <w:szCs w:val="21"/>
                    </w:rPr>
                  </w:pPr>
                  <w:r>
                    <w:rPr>
                      <w:szCs w:val="21"/>
                    </w:rPr>
                    <w:t>燃天然气</w:t>
                  </w:r>
                </w:p>
              </w:tc>
              <w:tc>
                <w:tcPr>
                  <w:tcW w:w="2067" w:type="dxa"/>
                  <w:vAlign w:val="center"/>
                </w:tcPr>
                <w:p>
                  <w:pPr>
                    <w:spacing w:line="240" w:lineRule="auto"/>
                    <w:jc w:val="center"/>
                    <w:rPr>
                      <w:szCs w:val="21"/>
                    </w:rPr>
                  </w:pPr>
                  <w:r>
                    <w:rPr>
                      <w:szCs w:val="21"/>
                    </w:rPr>
                    <w:t>-</w:t>
                  </w:r>
                </w:p>
              </w:tc>
            </w:tr>
          </w:tbl>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firstLine="520" w:firstLineChars="216"/>
              <w:textAlignment w:val="auto"/>
              <w:outlineLvl w:val="9"/>
              <w:rPr>
                <w:b/>
                <w:bCs/>
                <w:sz w:val="24"/>
              </w:rPr>
            </w:pPr>
            <w:r>
              <w:rPr>
                <w:b/>
                <w:bCs/>
                <w:sz w:val="24"/>
              </w:rPr>
              <w:t>公用工程及辅助设施</w:t>
            </w:r>
          </w:p>
          <w:p>
            <w:pPr>
              <w:pStyle w:val="8"/>
              <w:keepNext w:val="0"/>
              <w:keepLines w:val="0"/>
              <w:pageBreakBefore w:val="0"/>
              <w:widowControl w:val="0"/>
              <w:kinsoku/>
              <w:wordWrap/>
              <w:overflowPunct/>
              <w:topLinePunct w:val="0"/>
              <w:autoSpaceDE/>
              <w:autoSpaceDN/>
              <w:bidi w:val="0"/>
              <w:snapToGrid/>
              <w:spacing w:line="360" w:lineRule="auto"/>
              <w:ind w:firstLine="480"/>
              <w:textAlignment w:val="auto"/>
              <w:outlineLvl w:val="9"/>
              <w:rPr>
                <w:rFonts w:ascii="Times New Roman"/>
                <w:b/>
                <w:bCs/>
                <w:sz w:val="24"/>
                <w:szCs w:val="24"/>
              </w:rPr>
            </w:pPr>
            <w:r>
              <w:rPr>
                <w:rFonts w:ascii="Times New Roman"/>
                <w:b/>
                <w:bCs/>
                <w:sz w:val="24"/>
                <w:szCs w:val="24"/>
              </w:rPr>
              <w:t>1、给排水</w:t>
            </w:r>
          </w:p>
          <w:p>
            <w:pPr>
              <w:pStyle w:val="8"/>
              <w:spacing w:line="360" w:lineRule="auto"/>
              <w:ind w:firstLine="480"/>
              <w:rPr>
                <w:rFonts w:ascii="Times New Roman"/>
                <w:sz w:val="24"/>
                <w:szCs w:val="24"/>
              </w:rPr>
            </w:pPr>
            <w:r>
              <w:rPr>
                <w:rFonts w:ascii="Times New Roman"/>
                <w:sz w:val="24"/>
                <w:szCs w:val="24"/>
              </w:rPr>
              <w:t>（1）供水：本项目供水由市政集水管网供给，项目年用水量</w:t>
            </w:r>
            <w:r>
              <w:rPr>
                <w:rFonts w:hint="eastAsia" w:ascii="Times New Roman"/>
                <w:sz w:val="24"/>
                <w:szCs w:val="24"/>
              </w:rPr>
              <w:t>为3</w:t>
            </w:r>
            <w:r>
              <w:rPr>
                <w:rFonts w:ascii="Times New Roman"/>
                <w:sz w:val="24"/>
                <w:szCs w:val="24"/>
              </w:rPr>
              <w:t>00吨/年，主要为员工生活用水。</w:t>
            </w:r>
          </w:p>
          <w:p>
            <w:pPr>
              <w:pStyle w:val="8"/>
              <w:snapToGrid/>
              <w:ind w:firstLine="480"/>
              <w:rPr>
                <w:rFonts w:ascii="Times New Roman"/>
                <w:sz w:val="24"/>
                <w:szCs w:val="24"/>
              </w:rPr>
            </w:pPr>
            <w:r>
              <w:rPr>
                <w:rFonts w:ascii="Times New Roman"/>
                <w:sz w:val="24"/>
                <w:szCs w:val="24"/>
              </w:rPr>
              <w:t>（2）排水：员工生活污水排放量为270吨/年。生活污水经</w:t>
            </w:r>
            <w:r>
              <w:rPr>
                <w:rFonts w:hint="eastAsia" w:ascii="Times New Roman"/>
                <w:sz w:val="24"/>
                <w:szCs w:val="24"/>
              </w:rPr>
              <w:t>三级</w:t>
            </w:r>
            <w:r>
              <w:rPr>
                <w:rFonts w:ascii="Times New Roman"/>
                <w:sz w:val="24"/>
                <w:szCs w:val="24"/>
              </w:rPr>
              <w:t>化粪池预处理达到广东省《水污染物排放限值》（DB 44/26-2001）（第二时段）三级标准后，</w:t>
            </w:r>
            <w:r>
              <w:rPr>
                <w:rFonts w:ascii="Times New Roman"/>
                <w:sz w:val="24"/>
              </w:rPr>
              <w:t>排入龙归污水处理系统处理，尾水排入白海面涌</w:t>
            </w:r>
            <w:r>
              <w:rPr>
                <w:rFonts w:ascii="Times New Roman"/>
                <w:sz w:val="24"/>
                <w:szCs w:val="24"/>
              </w:rPr>
              <w:t>，最终流入流溪河</w:t>
            </w:r>
            <w:r>
              <w:rPr>
                <w:rFonts w:ascii="Times New Roman"/>
                <w:sz w:val="24"/>
              </w:rPr>
              <w:t>。</w:t>
            </w:r>
          </w:p>
          <w:p>
            <w:pPr>
              <w:pStyle w:val="8"/>
              <w:snapToGrid/>
              <w:ind w:firstLine="480"/>
              <w:rPr>
                <w:rFonts w:ascii="Times New Roman"/>
                <w:b/>
                <w:bCs/>
                <w:sz w:val="24"/>
                <w:szCs w:val="24"/>
              </w:rPr>
            </w:pPr>
            <w:r>
              <w:rPr>
                <w:rFonts w:ascii="Times New Roman"/>
                <w:b/>
                <w:bCs/>
                <w:sz w:val="24"/>
                <w:szCs w:val="24"/>
              </w:rPr>
              <w:t>2、供电</w:t>
            </w:r>
          </w:p>
          <w:p>
            <w:pPr>
              <w:tabs>
                <w:tab w:val="left" w:pos="0"/>
              </w:tabs>
              <w:snapToGrid w:val="0"/>
              <w:spacing w:line="360" w:lineRule="auto"/>
              <w:ind w:firstLine="480" w:firstLineChars="200"/>
              <w:rPr>
                <w:sz w:val="24"/>
              </w:rPr>
            </w:pPr>
            <w:r>
              <w:rPr>
                <w:sz w:val="24"/>
              </w:rPr>
              <w:t>本项目不设备用柴油发电机，用电从当地供电主线路接线，年耗电量约为5万度，本项目主要以天然气为能源，天然气年耗量约</w:t>
            </w:r>
            <w:r>
              <w:rPr>
                <w:rFonts w:hint="eastAsia"/>
                <w:sz w:val="24"/>
              </w:rPr>
              <w:t>0.</w:t>
            </w:r>
            <w:r>
              <w:rPr>
                <w:sz w:val="24"/>
              </w:rPr>
              <w:t>5万m</w:t>
            </w:r>
            <w:r>
              <w:rPr>
                <w:sz w:val="24"/>
                <w:vertAlign w:val="superscript"/>
              </w:rPr>
              <w:t>3</w:t>
            </w:r>
            <w:r>
              <w:rPr>
                <w:sz w:val="24"/>
              </w:rPr>
              <w:t>/a。</w:t>
            </w:r>
          </w:p>
          <w:p>
            <w:pPr>
              <w:numPr>
                <w:ilvl w:val="0"/>
                <w:numId w:val="1"/>
              </w:numPr>
              <w:adjustRightInd w:val="0"/>
              <w:snapToGrid w:val="0"/>
              <w:spacing w:line="360" w:lineRule="auto"/>
              <w:ind w:firstLine="482" w:firstLineChars="200"/>
              <w:rPr>
                <w:b/>
                <w:sz w:val="24"/>
              </w:rPr>
            </w:pPr>
            <w:r>
              <w:rPr>
                <w:b/>
                <w:bCs/>
                <w:sz w:val="24"/>
              </w:rPr>
              <w:t>工作时间及人员配置</w:t>
            </w:r>
          </w:p>
          <w:p>
            <w:pPr>
              <w:adjustRightInd w:val="0"/>
              <w:snapToGrid w:val="0"/>
              <w:spacing w:line="360" w:lineRule="auto"/>
              <w:ind w:firstLine="480" w:firstLineChars="200"/>
              <w:rPr>
                <w:sz w:val="24"/>
              </w:rPr>
            </w:pPr>
            <w:r>
              <w:rPr>
                <w:sz w:val="24"/>
              </w:rPr>
              <w:t>生产定员：项目员工共25人，均不在厂内食宿。</w:t>
            </w:r>
          </w:p>
          <w:p>
            <w:pPr>
              <w:adjustRightInd w:val="0"/>
              <w:snapToGrid w:val="0"/>
              <w:spacing w:line="360" w:lineRule="auto"/>
              <w:ind w:firstLine="480" w:firstLineChars="200"/>
              <w:rPr>
                <w:sz w:val="24"/>
              </w:rPr>
            </w:pPr>
            <w:r>
              <w:rPr>
                <w:sz w:val="24"/>
              </w:rPr>
              <w:t>工作制度：年生产时间为300天，每日工作8小时，一班制。</w:t>
            </w:r>
            <w:bookmarkStart w:id="0" w:name="_Toc68312843"/>
          </w:p>
          <w:p>
            <w:pPr>
              <w:pStyle w:val="4"/>
              <w:spacing w:before="0" w:after="0" w:line="360" w:lineRule="auto"/>
              <w:ind w:firstLine="482" w:firstLineChars="200"/>
              <w:outlineLvl w:val="2"/>
              <w:rPr>
                <w:kern w:val="2"/>
                <w:sz w:val="24"/>
                <w:szCs w:val="24"/>
              </w:rPr>
            </w:pPr>
            <w:r>
              <w:rPr>
                <w:sz w:val="24"/>
                <w:szCs w:val="24"/>
              </w:rPr>
              <w:t>六、</w:t>
            </w:r>
            <w:r>
              <w:rPr>
                <w:kern w:val="2"/>
                <w:sz w:val="24"/>
                <w:szCs w:val="24"/>
              </w:rPr>
              <w:t>项目选址合理合法性分析</w:t>
            </w:r>
          </w:p>
          <w:p>
            <w:pPr>
              <w:pStyle w:val="4"/>
              <w:spacing w:before="0" w:after="0" w:line="360" w:lineRule="auto"/>
              <w:ind w:firstLine="482" w:firstLineChars="200"/>
              <w:outlineLvl w:val="2"/>
              <w:rPr>
                <w:bCs w:val="0"/>
                <w:kern w:val="2"/>
                <w:sz w:val="24"/>
                <w:szCs w:val="24"/>
              </w:rPr>
            </w:pPr>
            <w:r>
              <w:rPr>
                <w:bCs w:val="0"/>
                <w:kern w:val="2"/>
                <w:sz w:val="24"/>
                <w:szCs w:val="24"/>
              </w:rPr>
              <w:t>（1）产业政策相符性分析</w:t>
            </w:r>
          </w:p>
          <w:p>
            <w:pPr>
              <w:pStyle w:val="4"/>
              <w:spacing w:before="0" w:after="0" w:line="360" w:lineRule="auto"/>
              <w:ind w:firstLine="480" w:firstLineChars="200"/>
              <w:outlineLvl w:val="2"/>
              <w:rPr>
                <w:sz w:val="24"/>
              </w:rPr>
            </w:pPr>
            <w:r>
              <w:rPr>
                <w:b w:val="0"/>
                <w:kern w:val="2"/>
                <w:sz w:val="24"/>
                <w:szCs w:val="24"/>
              </w:rPr>
              <w:t>本项目为五金件喷涂项目，根据《产业结构调整指导目录(2011年本)》（2013修正版，国发[2013]第21号）、《广东省主体功能区产业准入负面清单（2018年本）》（粤发改规〔2018〕12号），本项目不属于明文规定限制及淘汰类、禁止类产业项目，符合国家和地方当前产业政策。</w:t>
            </w:r>
          </w:p>
          <w:p>
            <w:pPr>
              <w:adjustRightInd w:val="0"/>
              <w:snapToGrid w:val="0"/>
              <w:spacing w:line="360" w:lineRule="auto"/>
              <w:ind w:firstLine="482" w:firstLineChars="200"/>
              <w:rPr>
                <w:b/>
                <w:bCs/>
                <w:sz w:val="24"/>
              </w:rPr>
            </w:pPr>
            <w:r>
              <w:rPr>
                <w:b/>
                <w:bCs/>
                <w:sz w:val="24"/>
              </w:rPr>
              <w:t>（2）项目选址与当地土地利用相符性分析</w:t>
            </w:r>
          </w:p>
          <w:p>
            <w:pPr>
              <w:adjustRightInd w:val="0"/>
              <w:snapToGrid w:val="0"/>
              <w:spacing w:line="360" w:lineRule="auto"/>
              <w:ind w:firstLine="480" w:firstLineChars="200"/>
              <w:rPr>
                <w:sz w:val="24"/>
              </w:rPr>
            </w:pPr>
            <w:r>
              <w:rPr>
                <w:sz w:val="24"/>
              </w:rPr>
              <w:t>本项目位于广州市白云区人和镇西湖村西湖西街54号，为租赁性质场所，根据《住所（经营场所）场地使用证明》（详见附件4），其经营用途为厂房，与实际用途相符，因此其用地具有合理合法性。</w:t>
            </w:r>
          </w:p>
          <w:p>
            <w:pPr>
              <w:adjustRightInd w:val="0"/>
              <w:snapToGrid w:val="0"/>
              <w:spacing w:line="360" w:lineRule="auto"/>
              <w:ind w:firstLine="482" w:firstLineChars="200"/>
              <w:rPr>
                <w:b/>
                <w:bCs/>
                <w:sz w:val="24"/>
              </w:rPr>
            </w:pPr>
            <w:r>
              <w:rPr>
                <w:b/>
                <w:bCs/>
                <w:sz w:val="24"/>
              </w:rPr>
              <w:t>（3）项目选址与当地环保规划的相符性分析</w:t>
            </w:r>
          </w:p>
          <w:p>
            <w:pPr>
              <w:adjustRightInd w:val="0"/>
              <w:snapToGrid w:val="0"/>
              <w:spacing w:line="360" w:lineRule="auto"/>
              <w:ind w:firstLine="480" w:firstLineChars="200"/>
              <w:rPr>
                <w:sz w:val="24"/>
              </w:rPr>
            </w:pPr>
            <w:r>
              <w:rPr>
                <w:sz w:val="24"/>
              </w:rPr>
              <w:t>1、本项目属龙归污水处理厂集水范围，项目产生的生活污水经预处理达到广东省地方标准《水污染物排放限值》（DB 44/26-2001）中的第二时段三级标准后，排入市政污水管网，进入龙归污水厂处理后排入白海面涌。</w:t>
            </w:r>
          </w:p>
          <w:p>
            <w:pPr>
              <w:adjustRightInd w:val="0"/>
              <w:snapToGrid w:val="0"/>
              <w:spacing w:line="360" w:lineRule="auto"/>
              <w:ind w:firstLine="480" w:firstLineChars="200"/>
              <w:rPr>
                <w:sz w:val="24"/>
              </w:rPr>
            </w:pPr>
            <w:r>
              <w:rPr>
                <w:sz w:val="24"/>
              </w:rPr>
              <w:t>根据《广东省地表水环境功能区划》，白海面涌属于Ⅲ类综合用水，执行《地表水环境质量标准》（GB3838-2002）Ⅲ类标准。</w:t>
            </w:r>
          </w:p>
          <w:p>
            <w:pPr>
              <w:adjustRightInd w:val="0"/>
              <w:snapToGrid w:val="0"/>
              <w:spacing w:line="360" w:lineRule="auto"/>
              <w:ind w:firstLine="480" w:firstLineChars="200"/>
              <w:rPr>
                <w:sz w:val="24"/>
              </w:rPr>
            </w:pPr>
            <w:r>
              <w:rPr>
                <w:sz w:val="24"/>
              </w:rPr>
              <w:t>2、本项目所在地区空气环境功能区为二类区</w:t>
            </w:r>
            <w:r>
              <w:rPr>
                <w:rFonts w:hint="eastAsia"/>
                <w:sz w:val="24"/>
              </w:rPr>
              <w:t>，见附图十一，</w:t>
            </w:r>
            <w:r>
              <w:rPr>
                <w:sz w:val="24"/>
              </w:rPr>
              <w:t>执行《环境空气质量标准》（GB3095-2012）及其修改单二级标准。</w:t>
            </w:r>
          </w:p>
          <w:p>
            <w:pPr>
              <w:adjustRightInd w:val="0"/>
              <w:snapToGrid w:val="0"/>
              <w:spacing w:line="360" w:lineRule="auto"/>
              <w:ind w:firstLine="480" w:firstLineChars="200"/>
              <w:rPr>
                <w:sz w:val="24"/>
              </w:rPr>
            </w:pPr>
            <w:r>
              <w:rPr>
                <w:sz w:val="24"/>
              </w:rPr>
              <w:t>3、本项目所在地区声环境功能区为2类区，</w:t>
            </w:r>
            <w:r>
              <w:rPr>
                <w:rFonts w:hint="eastAsia"/>
                <w:sz w:val="24"/>
              </w:rPr>
              <w:t>编号为BY0202，见附图十</w:t>
            </w:r>
            <w:r>
              <w:rPr>
                <w:sz w:val="24"/>
              </w:rPr>
              <w:t>，执行《声环境质量标准》（GB3096-2008）中的2类标准。</w:t>
            </w:r>
          </w:p>
          <w:p>
            <w:pPr>
              <w:adjustRightInd w:val="0"/>
              <w:snapToGrid w:val="0"/>
              <w:spacing w:line="360" w:lineRule="auto"/>
              <w:ind w:firstLine="480" w:firstLineChars="200"/>
              <w:rPr>
                <w:sz w:val="24"/>
              </w:rPr>
            </w:pPr>
            <w:r>
              <w:rPr>
                <w:sz w:val="24"/>
              </w:rPr>
              <w:t>因此，本项目选址不位于废水、废气等污染物禁排区域。在能做好环保治理措施，各项污染物均能达到相应的污染排放标准，对周围环境的影响能满足环境质量的要求的前提下，则本项目的选址符合当地环保规划的要求。</w:t>
            </w:r>
          </w:p>
          <w:p>
            <w:pPr>
              <w:adjustRightInd w:val="0"/>
              <w:snapToGrid w:val="0"/>
              <w:spacing w:line="360" w:lineRule="auto"/>
              <w:ind w:firstLine="482" w:firstLineChars="200"/>
              <w:rPr>
                <w:sz w:val="24"/>
              </w:rPr>
            </w:pPr>
            <w:r>
              <w:rPr>
                <w:b/>
                <w:bCs/>
                <w:sz w:val="24"/>
              </w:rPr>
              <w:t>（4）与《广州市流溪河流域保护条例》相符性</w:t>
            </w:r>
          </w:p>
          <w:p>
            <w:pPr>
              <w:adjustRightInd w:val="0"/>
              <w:snapToGrid w:val="0"/>
              <w:spacing w:line="360" w:lineRule="auto"/>
              <w:ind w:firstLine="480" w:firstLineChars="200"/>
              <w:rPr>
                <w:sz w:val="24"/>
              </w:rPr>
            </w:pPr>
            <w:r>
              <w:rPr>
                <w:sz w:val="24"/>
              </w:rPr>
              <w:t>本项目位于广州市白云区人和镇西湖村西湖西街54号。 《广州市流溪河流域保护条例》（下文简称“条例”）（广州市第十四届人民代表大会常务委员会公告第45号）第三十五条规定：禁止在流溪河干流河道岸线和岸线两侧各五千米范围内，支流河道岸线和岸线两侧各一千米范围内，禁止新建、扩建下列设施、项目：（一）剧毒物质、危险化学品的贮存、输送设施和垃圾填埋、焚烧项目；（二）畜禽养殖项目；（三）高尔夫球场、人工滑雪场等严重污染水环境的旅游项目；（四）造纸、制革、印染、染料、含磷洗涤用品、炼焦、炼硫、炼砷、炼汞、炼铅锌、炼油、电镀、酿造、农药、石棉、水泥、玻璃、火电以及其他严重污染水环境的工业项目；（五）市人民政府确定的严重污染水环境的其他设施、项目。</w:t>
            </w:r>
          </w:p>
          <w:p>
            <w:pPr>
              <w:adjustRightInd w:val="0"/>
              <w:snapToGrid w:val="0"/>
              <w:spacing w:line="360" w:lineRule="auto"/>
              <w:ind w:firstLine="480" w:firstLineChars="200"/>
              <w:rPr>
                <w:sz w:val="24"/>
              </w:rPr>
            </w:pPr>
            <w:r>
              <w:rPr>
                <w:sz w:val="24"/>
              </w:rPr>
              <w:t>本项目不涉及前处理工序，来件仅喷涂处理，无酸洗磷化处理、无水洗处理，需前处理的工件外发处理，且本项目南厂界距离流溪河干流河道岸线的直线距离约1.3km（详见附图六），在流溪河干流河道岸线和岸线两侧各五千米范围内，但本项目不属于《广州市流溪河流域保护条例》第三十五条规定内的严重污染水环境的建设项目，因此，本项目符合条例第三十五条规定。</w:t>
            </w:r>
          </w:p>
          <w:p>
            <w:pPr>
              <w:adjustRightInd w:val="0"/>
              <w:snapToGrid w:val="0"/>
              <w:spacing w:line="360" w:lineRule="auto"/>
              <w:ind w:firstLine="480" w:firstLineChars="200"/>
              <w:rPr>
                <w:sz w:val="24"/>
              </w:rPr>
            </w:pPr>
            <w:r>
              <w:rPr>
                <w:sz w:val="24"/>
              </w:rPr>
              <w:t>条例第三十一条规定“禁止在流溪河流域饮用水水源保护区设置排污口”。项目选址属于龙归污水处理厂的集污范围，本项目生产过程中无需用水，即无生产废水产生，项目产生的生活污水经预处理后达到广东省《水污染物排放限值》（DB 44/26-2001）第二时段三级标准后，排入市政污水管网，进入龙归污水</w:t>
            </w:r>
            <w:r>
              <w:rPr>
                <w:rFonts w:hint="eastAsia"/>
                <w:sz w:val="24"/>
              </w:rPr>
              <w:t>处理</w:t>
            </w:r>
            <w:r>
              <w:rPr>
                <w:sz w:val="24"/>
              </w:rPr>
              <w:t>厂处理后排入白海面涌，最终进入流溪河。本项目污水排放口均不在广州市饮用水源保护区范围内，因此，本项目符合条例第三十一条规定。</w:t>
            </w:r>
          </w:p>
          <w:p>
            <w:pPr>
              <w:adjustRightInd w:val="0"/>
              <w:snapToGrid w:val="0"/>
              <w:spacing w:line="360" w:lineRule="auto"/>
              <w:ind w:firstLine="480" w:firstLineChars="200"/>
              <w:rPr>
                <w:sz w:val="24"/>
              </w:rPr>
            </w:pPr>
            <w:r>
              <w:rPr>
                <w:sz w:val="24"/>
              </w:rPr>
              <w:t>综上，本项目与《广州市流溪河流域保护条例》相符。</w:t>
            </w:r>
          </w:p>
          <w:p>
            <w:pPr>
              <w:adjustRightInd w:val="0"/>
              <w:snapToGrid w:val="0"/>
              <w:spacing w:line="360" w:lineRule="auto"/>
              <w:ind w:firstLine="482" w:firstLineChars="200"/>
              <w:rPr>
                <w:b/>
                <w:bCs/>
                <w:sz w:val="24"/>
              </w:rPr>
            </w:pPr>
            <w:r>
              <w:rPr>
                <w:b/>
                <w:bCs/>
                <w:sz w:val="24"/>
              </w:rPr>
              <w:t>（5）项目与广州市城市总体规划相符性分析</w:t>
            </w:r>
          </w:p>
          <w:p>
            <w:pPr>
              <w:adjustRightInd w:val="0"/>
              <w:snapToGrid w:val="0"/>
              <w:spacing w:line="360" w:lineRule="auto"/>
              <w:ind w:firstLine="480" w:firstLineChars="200"/>
              <w:rPr>
                <w:sz w:val="24"/>
              </w:rPr>
            </w:pPr>
            <w:r>
              <w:rPr>
                <w:sz w:val="24"/>
              </w:rPr>
              <w:t>本项目位于广州市白云区人和镇西湖村西湖西街54号，根据《广州市生态保护红线规划图》（见附图</w:t>
            </w:r>
            <w:r>
              <w:rPr>
                <w:rFonts w:hint="eastAsia"/>
                <w:sz w:val="24"/>
                <w:lang w:val="en-US" w:eastAsia="zh-CN"/>
              </w:rPr>
              <w:t>7</w:t>
            </w:r>
            <w:r>
              <w:rPr>
                <w:sz w:val="24"/>
              </w:rPr>
              <w:t>），本项目不属于生态保护红线区；根据《</w:t>
            </w:r>
            <w:r>
              <w:rPr>
                <w:rFonts w:hint="eastAsia"/>
                <w:sz w:val="24"/>
              </w:rPr>
              <w:t>广州市生态环境空间管控图</w:t>
            </w:r>
            <w:r>
              <w:rPr>
                <w:sz w:val="24"/>
              </w:rPr>
              <w:t>》（见附图</w:t>
            </w:r>
            <w:r>
              <w:rPr>
                <w:rFonts w:hint="eastAsia"/>
                <w:sz w:val="24"/>
                <w:lang w:val="en-US" w:eastAsia="zh-CN"/>
              </w:rPr>
              <w:t>8</w:t>
            </w:r>
            <w:r>
              <w:rPr>
                <w:sz w:val="24"/>
              </w:rPr>
              <w:t>），本项目不属于生态保护</w:t>
            </w:r>
            <w:r>
              <w:rPr>
                <w:rFonts w:hint="eastAsia"/>
                <w:sz w:val="24"/>
                <w:lang w:val="en-US" w:eastAsia="zh-CN"/>
              </w:rPr>
              <w:t>空间管控区</w:t>
            </w:r>
            <w:r>
              <w:rPr>
                <w:sz w:val="24"/>
              </w:rPr>
              <w:t>；根据《广州市大气环境空间管控区图》（见附图</w:t>
            </w:r>
            <w:r>
              <w:rPr>
                <w:rFonts w:hint="eastAsia"/>
                <w:sz w:val="24"/>
                <w:lang w:val="en-US" w:eastAsia="zh-CN"/>
              </w:rPr>
              <w:t>9</w:t>
            </w:r>
            <w:r>
              <w:rPr>
                <w:sz w:val="24"/>
              </w:rPr>
              <w:t>），本项目不涉及环境空气质量功能区一类区、大气污染物存量重点减排区、大气污染物增量严控区等大气环境空间管控区；根据《广州市水环境空间管控区图》（见附图</w:t>
            </w:r>
            <w:r>
              <w:rPr>
                <w:rFonts w:hint="eastAsia"/>
                <w:sz w:val="24"/>
                <w:lang w:val="en-US" w:eastAsia="zh-CN"/>
              </w:rPr>
              <w:t>10</w:t>
            </w:r>
            <w:r>
              <w:rPr>
                <w:sz w:val="24"/>
              </w:rPr>
              <w:t>），本项目属于水环境管控区中涉饮用水源保护管控区中的准保护区以外的区域，该区域禁止新建、扩建对水体污染严重的建设项目，本项目不设工业废水排放口，生活污水接驳市政</w:t>
            </w:r>
            <w:r>
              <w:rPr>
                <w:rFonts w:hint="eastAsia"/>
                <w:sz w:val="24"/>
              </w:rPr>
              <w:t>污水</w:t>
            </w:r>
            <w:r>
              <w:rPr>
                <w:sz w:val="24"/>
              </w:rPr>
              <w:t xml:space="preserve">管网，因此本项目的建设符合水环境空间管控区的规定。综上，本项目的建设符合广州市城市环境总体规划（2014年-2030年）的要求。 </w:t>
            </w:r>
          </w:p>
          <w:p>
            <w:pPr>
              <w:adjustRightInd w:val="0"/>
              <w:spacing w:line="360" w:lineRule="auto"/>
              <w:ind w:firstLine="482" w:firstLineChars="200"/>
              <w:rPr>
                <w:b/>
                <w:sz w:val="24"/>
              </w:rPr>
            </w:pPr>
            <w:r>
              <w:rPr>
                <w:b/>
                <w:sz w:val="24"/>
              </w:rPr>
              <w:t>（6）与《广州市发展改革委关于公布实施广州市流溪河流域产业绿色发展规划的通知》（穗发改〔2018〕784 号）的相符性分析</w:t>
            </w:r>
          </w:p>
          <w:p>
            <w:pPr>
              <w:adjustRightInd w:val="0"/>
              <w:snapToGrid w:val="0"/>
              <w:spacing w:line="360" w:lineRule="auto"/>
              <w:ind w:firstLine="480" w:firstLineChars="200"/>
              <w:rPr>
                <w:sz w:val="24"/>
              </w:rPr>
            </w:pPr>
            <w:r>
              <w:rPr>
                <w:sz w:val="24"/>
              </w:rPr>
              <w:t>本项目位于广州市白云区人和镇西湖村西湖西街54号，属于流溪河流域范围。流溪河流域产业发展必须以绿色发展理念为指引，坚持生态环保优先，统筹兼顾生态环保与产业发展作为基本方针，贯穿到产业发展的各个环节。围绕保护和改善生态环境，从生态、装备、工艺等方面控制排污、排废；以建设生态环境建设和改善长效机制为导向，推动产业转型升级，加快产业绿色化、高端化、集约化发展，形成推动流域环境保护和产业建设互动互促、有机融合的发展机制。</w:t>
            </w:r>
          </w:p>
          <w:p>
            <w:pPr>
              <w:adjustRightInd w:val="0"/>
              <w:snapToGrid w:val="0"/>
              <w:spacing w:line="360" w:lineRule="auto"/>
              <w:ind w:firstLine="480" w:firstLineChars="200"/>
              <w:rPr>
                <w:color w:val="FF0000"/>
                <w:sz w:val="24"/>
              </w:rPr>
            </w:pPr>
            <w:r>
              <w:rPr>
                <w:sz w:val="24"/>
              </w:rPr>
              <w:t xml:space="preserve">本项目属于五金喷涂加工业，根据《广州市流溪河流域鼓励、限制、禁止发展的产业、产品目录》，主要进行电脑机箱五金件的喷粉加工，不属于限制、禁止发展的产业和产品。本项目运营期间产生的各类污染物均采取有效的处理措施，对周围环境影响较小。综上所述，项目符合《广州市发展改革委关于公布实施广州市流溪河流域产业绿色发展规划的通知》（穗发改〔2018〕784号）的相关要求。 </w:t>
            </w:r>
          </w:p>
          <w:p>
            <w:pPr>
              <w:spacing w:line="360" w:lineRule="auto"/>
              <w:ind w:firstLine="482" w:firstLineChars="200"/>
              <w:jc w:val="left"/>
              <w:rPr>
                <w:b/>
                <w:sz w:val="24"/>
              </w:rPr>
            </w:pPr>
            <w:r>
              <w:rPr>
                <w:b/>
                <w:sz w:val="24"/>
              </w:rPr>
              <w:t xml:space="preserve">（7）与环保政策的相符性分析 </w:t>
            </w:r>
          </w:p>
          <w:p>
            <w:pPr>
              <w:spacing w:line="360" w:lineRule="auto"/>
              <w:ind w:firstLine="480" w:firstLineChars="200"/>
              <w:rPr>
                <w:sz w:val="24"/>
              </w:rPr>
            </w:pPr>
            <w:r>
              <w:rPr>
                <w:sz w:val="24"/>
              </w:rPr>
              <w:t>根据《印发&lt;关于珠江三角洲地区严格控制工业企业挥发性有机物（VOCs）排放的意见&gt;的通知》（粤环[2012]18号）：“所有排放VOCs的车间必须安装废气收集、回收/净化装置，收集率大于应90%”；“珠江三角洲地区应结合主体功能区规划和环境容量要求，引导VOCs排放产业布局优化调整。在自然保护区、水源保护区、风景名胜区、森林公园、重要湿地、生态敏感区和其他重要生态功能区实行强制性保护，禁止新建VOCs污染企业，并逐步清理现有污染源。在水源涵养区、水土保持区和海岸生态防护带等生态功能区实施限制开发，加强对排污企业的清理和整顿，严格限制可能危害生态功能的产业发展。新建VOCs排放量大的企业入工业园区并符合园区相应规划要求。” 本项目的VOC</w:t>
            </w:r>
            <w:r>
              <w:rPr>
                <w:rFonts w:hint="eastAsia"/>
                <w:sz w:val="24"/>
              </w:rPr>
              <w:t>s</w:t>
            </w:r>
            <w:r>
              <w:rPr>
                <w:sz w:val="24"/>
              </w:rPr>
              <w:t>收集率&gt;90%，去除率&gt;90%, 可以达到相关要求；本项目位于广州市白云区人和镇西湖村西湖西街54号，不属于自然保护区、水源保护区、风景名胜区、森林公园、重要湿地、生态敏感区和其他重要生态功能区，不属于水源涵养区、水土保持区和海岸生态防护带等生态功能区，选址符合相关要求。</w:t>
            </w:r>
          </w:p>
          <w:p>
            <w:pPr>
              <w:adjustRightInd w:val="0"/>
              <w:snapToGrid w:val="0"/>
              <w:spacing w:line="360" w:lineRule="auto"/>
              <w:ind w:firstLine="480" w:firstLineChars="200"/>
            </w:pPr>
            <w:r>
              <w:rPr>
                <w:sz w:val="24"/>
              </w:rPr>
              <w:t>根据《广东省挥发性有机物（VOCs）整治与减排工作方案（2018-2020年）》（粤环发〔2018〕6号），本项目产生的有机废气通过集气罩收集，并通过UV</w:t>
            </w:r>
            <w:r>
              <w:rPr>
                <w:rFonts w:hint="eastAsia"/>
                <w:sz w:val="24"/>
              </w:rPr>
              <w:t>光解</w:t>
            </w:r>
            <w:r>
              <w:rPr>
                <w:sz w:val="24"/>
              </w:rPr>
              <w:t>+活性炭吸附装置二级处理达标后排放，收集效率不低于90%，处理效率不低于90%，项目使用的粉末涂料不含溶剂，烘干工序产生VOCs含量较少，项目严格按照《广东省挥发性有机物（VOCs）整治与减排工作方案（2018-2020年）》（粤环发〔2018〕6号）的要求，做好VOCs的减排工作。因此本项目的建设与粤环发〔2018〕6号）文件相关要求相符。</w:t>
            </w:r>
            <w:bookmarkEnd w:id="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31" w:type="dxa"/>
          </w:tcPr>
          <w:p>
            <w:pPr>
              <w:pStyle w:val="7"/>
              <w:spacing w:line="360" w:lineRule="auto"/>
              <w:rPr>
                <w:b/>
                <w:sz w:val="30"/>
                <w:szCs w:val="30"/>
              </w:rPr>
            </w:pPr>
            <w:r>
              <w:rPr>
                <w:b/>
                <w:sz w:val="28"/>
              </w:rPr>
              <w:t>与本项目有关的原有污染情况及主要环境问题：</w:t>
            </w:r>
          </w:p>
          <w:p>
            <w:pPr>
              <w:adjustRightInd w:val="0"/>
              <w:snapToGrid w:val="0"/>
              <w:spacing w:line="360" w:lineRule="auto"/>
              <w:ind w:firstLine="482" w:firstLineChars="200"/>
              <w:rPr>
                <w:rFonts w:hint="eastAsia"/>
                <w:b/>
                <w:sz w:val="24"/>
                <w:szCs w:val="22"/>
              </w:rPr>
            </w:pPr>
            <w:r>
              <w:rPr>
                <w:rFonts w:hint="eastAsia"/>
                <w:b/>
                <w:sz w:val="24"/>
                <w:szCs w:val="22"/>
              </w:rPr>
              <w:t>1、项目四至情况</w:t>
            </w:r>
          </w:p>
          <w:p>
            <w:pPr>
              <w:adjustRightInd w:val="0"/>
              <w:snapToGrid w:val="0"/>
              <w:spacing w:line="360" w:lineRule="auto"/>
              <w:ind w:firstLine="480" w:firstLineChars="200"/>
              <w:rPr>
                <w:rFonts w:hint="eastAsia"/>
                <w:b w:val="0"/>
                <w:bCs/>
                <w:sz w:val="24"/>
                <w:szCs w:val="22"/>
              </w:rPr>
            </w:pPr>
            <w:r>
              <w:rPr>
                <w:rFonts w:hint="eastAsia"/>
                <w:b w:val="0"/>
                <w:bCs/>
                <w:sz w:val="24"/>
                <w:szCs w:val="22"/>
                <w:lang w:val="en-US" w:eastAsia="zh-CN"/>
              </w:rPr>
              <w:t>本项目</w:t>
            </w:r>
            <w:r>
              <w:rPr>
                <w:rFonts w:hint="eastAsia"/>
                <w:b w:val="0"/>
                <w:bCs/>
                <w:sz w:val="24"/>
                <w:szCs w:val="22"/>
              </w:rPr>
              <w:t>位于</w:t>
            </w:r>
            <w:r>
              <w:rPr>
                <w:rFonts w:ascii="Times New Roman"/>
                <w:sz w:val="24"/>
              </w:rPr>
              <w:t>广州市白云区人和镇西湖村西湖西街54号</w:t>
            </w:r>
            <w:r>
              <w:rPr>
                <w:rFonts w:hint="eastAsia"/>
                <w:b w:val="0"/>
                <w:bCs/>
                <w:sz w:val="24"/>
                <w:szCs w:val="22"/>
              </w:rPr>
              <w:t>。</w:t>
            </w:r>
            <w:r>
              <w:rPr>
                <w:b w:val="0"/>
                <w:bCs/>
                <w:sz w:val="24"/>
              </w:rPr>
              <w:t>项目东</w:t>
            </w:r>
            <w:r>
              <w:rPr>
                <w:rFonts w:hint="eastAsia"/>
                <w:b w:val="0"/>
                <w:bCs/>
                <w:sz w:val="24"/>
                <w:lang w:eastAsia="zh-CN"/>
              </w:rPr>
              <w:t>、</w:t>
            </w:r>
            <w:r>
              <w:rPr>
                <w:rFonts w:hint="eastAsia"/>
                <w:b w:val="0"/>
                <w:bCs/>
                <w:sz w:val="24"/>
                <w:lang w:val="en-US" w:eastAsia="zh-CN"/>
              </w:rPr>
              <w:t>南、北面相邻均为厂房</w:t>
            </w:r>
            <w:r>
              <w:rPr>
                <w:b w:val="0"/>
                <w:bCs/>
                <w:sz w:val="24"/>
              </w:rPr>
              <w:t>，西面为荒废的建筑。项目四至及噪声监测布点见附图二，项目周边环境现状见附图三。</w:t>
            </w:r>
          </w:p>
          <w:p>
            <w:pPr>
              <w:adjustRightInd w:val="0"/>
              <w:snapToGrid w:val="0"/>
              <w:spacing w:line="360" w:lineRule="auto"/>
              <w:ind w:firstLine="482" w:firstLineChars="200"/>
              <w:rPr>
                <w:rFonts w:hint="eastAsia"/>
                <w:b/>
                <w:sz w:val="24"/>
                <w:szCs w:val="22"/>
              </w:rPr>
            </w:pPr>
            <w:r>
              <w:rPr>
                <w:rFonts w:hint="eastAsia"/>
                <w:b/>
                <w:sz w:val="24"/>
                <w:szCs w:val="22"/>
              </w:rPr>
              <w:t>2、项目周边污染情况</w:t>
            </w:r>
          </w:p>
          <w:p>
            <w:pPr>
              <w:adjustRightInd w:val="0"/>
              <w:snapToGrid w:val="0"/>
              <w:spacing w:line="360" w:lineRule="auto"/>
              <w:ind w:firstLine="480" w:firstLineChars="200"/>
              <w:rPr>
                <w:rFonts w:hint="eastAsia"/>
                <w:b w:val="0"/>
                <w:bCs/>
                <w:sz w:val="24"/>
                <w:szCs w:val="22"/>
              </w:rPr>
            </w:pPr>
            <w:r>
              <w:rPr>
                <w:rFonts w:hint="eastAsia"/>
                <w:b w:val="0"/>
                <w:bCs/>
                <w:sz w:val="24"/>
                <w:szCs w:val="22"/>
              </w:rPr>
              <w:t>项目的周围主要为工业区，因此项目周围主要环境问题为周围工业厂房产生的生产噪声、生产废气、固体废物、生活垃圾及废水等污染物。</w:t>
            </w:r>
          </w:p>
          <w:p>
            <w:pPr>
              <w:adjustRightInd w:val="0"/>
              <w:snapToGrid w:val="0"/>
              <w:spacing w:line="360" w:lineRule="auto"/>
              <w:ind w:firstLine="482" w:firstLineChars="200"/>
              <w:rPr>
                <w:rFonts w:hint="eastAsia"/>
                <w:b/>
                <w:sz w:val="24"/>
                <w:szCs w:val="22"/>
              </w:rPr>
            </w:pPr>
            <w:r>
              <w:rPr>
                <w:rFonts w:hint="eastAsia"/>
                <w:b/>
                <w:sz w:val="24"/>
                <w:szCs w:val="22"/>
              </w:rPr>
              <w:t>3、项目原有污染情况</w:t>
            </w:r>
          </w:p>
          <w:p>
            <w:pPr>
              <w:adjustRightInd w:val="0"/>
              <w:snapToGrid w:val="0"/>
              <w:spacing w:line="360" w:lineRule="auto"/>
              <w:ind w:firstLine="480" w:firstLineChars="200"/>
              <w:jc w:val="center"/>
              <w:rPr>
                <w:rFonts w:hint="eastAsia" w:eastAsia="宋体"/>
                <w:b/>
                <w:sz w:val="24"/>
                <w:szCs w:val="22"/>
                <w:lang w:eastAsia="zh-CN"/>
              </w:rPr>
            </w:pPr>
            <w:r>
              <w:rPr>
                <w:sz w:val="24"/>
              </w:rPr>
              <w:t>广州昇宏五金制品有限公司</w:t>
            </w:r>
            <w:r>
              <w:rPr>
                <w:rFonts w:hint="eastAsia"/>
                <w:sz w:val="24"/>
                <w:lang w:val="zh-CN"/>
              </w:rPr>
              <w:t>成立于</w:t>
            </w:r>
            <w:r>
              <w:rPr>
                <w:rFonts w:hint="eastAsia"/>
                <w:sz w:val="24"/>
                <w:lang w:val="en-US" w:eastAsia="zh-CN"/>
              </w:rPr>
              <w:t>2019</w:t>
            </w:r>
            <w:r>
              <w:rPr>
                <w:rFonts w:hint="eastAsia"/>
                <w:sz w:val="24"/>
                <w:lang w:val="zh-CN"/>
              </w:rPr>
              <w:t xml:space="preserve"> 年</w:t>
            </w:r>
            <w:r>
              <w:rPr>
                <w:rFonts w:hint="eastAsia"/>
                <w:sz w:val="24"/>
                <w:lang w:val="en-US" w:eastAsia="zh-CN"/>
              </w:rPr>
              <w:t>2</w:t>
            </w:r>
            <w:r>
              <w:rPr>
                <w:rFonts w:hint="eastAsia"/>
                <w:sz w:val="24"/>
                <w:lang w:val="zh-CN"/>
              </w:rPr>
              <w:t>月</w:t>
            </w:r>
            <w:r>
              <w:rPr>
                <w:rFonts w:hint="eastAsia"/>
                <w:sz w:val="24"/>
                <w:lang w:val="en-US" w:eastAsia="zh-CN"/>
              </w:rPr>
              <w:t>27</w:t>
            </w:r>
            <w:r>
              <w:rPr>
                <w:rFonts w:hint="eastAsia"/>
                <w:sz w:val="24"/>
                <w:lang w:val="zh-CN"/>
              </w:rPr>
              <w:t>日。本项目为新建项目，未投入使用，现状为空厂房，无原有污染情况。项目现状实景图请见图1-1</w:t>
            </w:r>
            <w:r>
              <w:rPr>
                <w:rFonts w:hint="eastAsia"/>
                <w:sz w:val="24"/>
                <w:lang w:val="en-US" w:eastAsia="zh-CN"/>
              </w:rPr>
              <w:t>所示</w:t>
            </w:r>
            <w:r>
              <w:rPr>
                <w:sz w:val="24"/>
                <w:lang w:val="zh-CN"/>
              </w:rPr>
              <w:t>。</w:t>
            </w:r>
            <w:r>
              <w:rPr>
                <w:rFonts w:hint="eastAsia" w:eastAsia="宋体"/>
                <w:b/>
                <w:sz w:val="24"/>
                <w:szCs w:val="22"/>
                <w:lang w:eastAsia="zh-CN"/>
              </w:rPr>
              <w:drawing>
                <wp:inline distT="0" distB="0" distL="114300" distR="114300">
                  <wp:extent cx="4660265" cy="3562985"/>
                  <wp:effectExtent l="0" t="0" r="3175" b="3175"/>
                  <wp:docPr id="1" name="图片 1" descr="1554975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554975549(1)"/>
                          <pic:cNvPicPr>
                            <a:picLocks noChangeAspect="1"/>
                          </pic:cNvPicPr>
                        </pic:nvPicPr>
                        <pic:blipFill>
                          <a:blip r:embed="rId8"/>
                          <a:stretch>
                            <a:fillRect/>
                          </a:stretch>
                        </pic:blipFill>
                        <pic:spPr>
                          <a:xfrm>
                            <a:off x="0" y="0"/>
                            <a:ext cx="4660265" cy="3562985"/>
                          </a:xfrm>
                          <a:prstGeom prst="rect">
                            <a:avLst/>
                          </a:prstGeom>
                        </pic:spPr>
                      </pic:pic>
                    </a:graphicData>
                  </a:graphic>
                </wp:inline>
              </w:drawing>
            </w:r>
          </w:p>
          <w:p>
            <w:pPr>
              <w:adjustRightInd w:val="0"/>
              <w:snapToGrid w:val="0"/>
              <w:spacing w:line="360" w:lineRule="auto"/>
              <w:ind w:firstLine="482" w:firstLineChars="200"/>
              <w:jc w:val="center"/>
            </w:pPr>
            <w:r>
              <w:rPr>
                <w:rFonts w:hint="eastAsia"/>
                <w:b/>
                <w:bCs/>
                <w:sz w:val="24"/>
                <w:lang w:val="zh-CN"/>
              </w:rPr>
              <w:t>图1-1</w:t>
            </w:r>
            <w:r>
              <w:rPr>
                <w:rFonts w:hint="eastAsia"/>
                <w:b/>
                <w:bCs/>
                <w:sz w:val="24"/>
                <w:lang w:val="en-US" w:eastAsia="zh-CN"/>
              </w:rPr>
              <w:t>项目空厂房照片</w:t>
            </w:r>
          </w:p>
        </w:tc>
      </w:tr>
    </w:tbl>
    <w:p>
      <w:pPr>
        <w:sectPr>
          <w:pgSz w:w="11906" w:h="16838"/>
          <w:pgMar w:top="1440" w:right="1800" w:bottom="1440" w:left="1800" w:header="851" w:footer="992" w:gutter="0"/>
          <w:pgNumType w:fmt="decimal"/>
          <w:cols w:space="425" w:num="1"/>
          <w:docGrid w:type="lines" w:linePitch="312" w:charSpace="0"/>
        </w:sectPr>
      </w:pPr>
    </w:p>
    <w:p>
      <w:r>
        <w:rPr>
          <w:rFonts w:hint="eastAsia"/>
          <w:b/>
          <w:sz w:val="28"/>
        </w:rPr>
        <w:t>建设项目所在地自然环境社会环境简况</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tcPr>
          <w:p>
            <w:pPr>
              <w:tabs>
                <w:tab w:val="left" w:pos="2940"/>
              </w:tabs>
              <w:adjustRightInd w:val="0"/>
              <w:snapToGrid w:val="0"/>
              <w:spacing w:line="360" w:lineRule="auto"/>
              <w:rPr>
                <w:b/>
                <w:caps/>
                <w:sz w:val="28"/>
                <w:szCs w:val="28"/>
              </w:rPr>
            </w:pPr>
            <w:r>
              <w:rPr>
                <w:rFonts w:hint="eastAsia"/>
                <w:b/>
                <w:caps/>
                <w:sz w:val="28"/>
                <w:szCs w:val="28"/>
              </w:rPr>
              <w:t>自然环境简况（地形、地貌、地质、气候、水文、植被、生物多样性等）：</w:t>
            </w:r>
          </w:p>
          <w:p>
            <w:pPr>
              <w:numPr>
                <w:ilvl w:val="0"/>
                <w:numId w:val="4"/>
              </w:numPr>
              <w:spacing w:line="360" w:lineRule="auto"/>
              <w:rPr>
                <w:b/>
                <w:sz w:val="24"/>
              </w:rPr>
            </w:pPr>
            <w:r>
              <w:rPr>
                <w:rFonts w:hint="eastAsia"/>
                <w:b/>
                <w:sz w:val="24"/>
              </w:rPr>
              <w:t>地理位置</w:t>
            </w:r>
          </w:p>
          <w:p>
            <w:pPr>
              <w:spacing w:line="360" w:lineRule="auto"/>
              <w:ind w:firstLine="480" w:firstLineChars="200"/>
              <w:jc w:val="left"/>
              <w:rPr>
                <w:caps/>
                <w:sz w:val="24"/>
                <w:lang w:val="zh-CN"/>
              </w:rPr>
            </w:pPr>
            <w:r>
              <w:rPr>
                <w:rFonts w:hint="eastAsia"/>
                <w:caps/>
                <w:sz w:val="24"/>
                <w:lang w:val="zh-CN"/>
              </w:rPr>
              <w:t>白云区位于广州西北部，地处北回归线以南，阳光充足，雨量充沛，气候温和。该区东邻增城，西界南海，南连荔湾、越秀、天河、黄埔等四个城区，北接花都和从化，全区面积</w:t>
            </w:r>
            <w:r>
              <w:rPr>
                <w:caps/>
                <w:sz w:val="24"/>
                <w:lang w:val="zh-CN"/>
              </w:rPr>
              <w:t>795.79</w:t>
            </w:r>
            <w:r>
              <w:rPr>
                <w:bCs/>
                <w:sz w:val="24"/>
                <w:lang w:val="zh-CN"/>
              </w:rPr>
              <w:t>km</w:t>
            </w:r>
            <w:r>
              <w:rPr>
                <w:bCs/>
                <w:sz w:val="24"/>
                <w:vertAlign w:val="superscript"/>
                <w:lang w:val="zh-CN"/>
              </w:rPr>
              <w:t>2</w:t>
            </w:r>
            <w:r>
              <w:rPr>
                <w:rFonts w:hint="eastAsia"/>
                <w:caps/>
                <w:sz w:val="24"/>
                <w:lang w:val="zh-CN"/>
              </w:rPr>
              <w:t>。区内交通网络发达，其中京广电气化铁路、</w:t>
            </w:r>
            <w:r>
              <w:rPr>
                <w:caps/>
                <w:sz w:val="24"/>
                <w:lang w:val="zh-CN"/>
              </w:rPr>
              <w:t>105</w:t>
            </w:r>
            <w:r>
              <w:rPr>
                <w:rFonts w:hint="eastAsia"/>
                <w:caps/>
                <w:sz w:val="24"/>
                <w:lang w:val="zh-CN"/>
              </w:rPr>
              <w:t>、</w:t>
            </w:r>
            <w:r>
              <w:rPr>
                <w:caps/>
                <w:sz w:val="24"/>
                <w:lang w:val="zh-CN"/>
              </w:rPr>
              <w:t>106</w:t>
            </w:r>
            <w:r>
              <w:rPr>
                <w:rFonts w:hint="eastAsia"/>
                <w:caps/>
                <w:sz w:val="24"/>
                <w:lang w:val="zh-CN"/>
              </w:rPr>
              <w:t>、</w:t>
            </w:r>
            <w:r>
              <w:rPr>
                <w:caps/>
                <w:sz w:val="24"/>
                <w:lang w:val="zh-CN"/>
              </w:rPr>
              <w:t>207</w:t>
            </w:r>
            <w:r>
              <w:rPr>
                <w:rFonts w:hint="eastAsia"/>
                <w:caps/>
                <w:sz w:val="24"/>
                <w:lang w:val="zh-CN"/>
              </w:rPr>
              <w:t>、</w:t>
            </w:r>
            <w:r>
              <w:rPr>
                <w:caps/>
                <w:sz w:val="24"/>
                <w:lang w:val="zh-CN"/>
              </w:rPr>
              <w:t>324</w:t>
            </w:r>
            <w:r>
              <w:rPr>
                <w:rFonts w:hint="eastAsia"/>
                <w:caps/>
                <w:sz w:val="24"/>
                <w:lang w:val="zh-CN"/>
              </w:rPr>
              <w:t>国道及京珠、广惠、华南快速干线等高速公路穿越该区，广花、罗南等省道和地铁二号线、机场快速干线也行经区内，是广州市重要的交通运输枢纽。</w:t>
            </w:r>
          </w:p>
          <w:p>
            <w:pPr>
              <w:numPr>
                <w:ilvl w:val="0"/>
                <w:numId w:val="4"/>
              </w:numPr>
              <w:spacing w:line="360" w:lineRule="auto"/>
              <w:rPr>
                <w:b/>
                <w:sz w:val="24"/>
              </w:rPr>
            </w:pPr>
            <w:r>
              <w:rPr>
                <w:rFonts w:hint="eastAsia"/>
                <w:b/>
                <w:sz w:val="24"/>
              </w:rPr>
              <w:t>地形、地貌</w:t>
            </w:r>
          </w:p>
          <w:p>
            <w:pPr>
              <w:spacing w:line="360" w:lineRule="auto"/>
              <w:ind w:firstLine="480" w:firstLineChars="200"/>
              <w:jc w:val="left"/>
              <w:rPr>
                <w:caps/>
                <w:sz w:val="24"/>
                <w:lang w:val="zh-CN"/>
              </w:rPr>
            </w:pPr>
            <w:r>
              <w:rPr>
                <w:rFonts w:hint="eastAsia"/>
                <w:caps/>
                <w:sz w:val="24"/>
                <w:lang w:val="zh-CN"/>
              </w:rPr>
              <w:t>白云区地貌主要由丘陵山地、台地和平原构成。白云区东部属侵蚀、剥蚀构造地貌，为丘陵山地，面积</w:t>
            </w:r>
            <w:r>
              <w:rPr>
                <w:caps/>
                <w:sz w:val="24"/>
                <w:lang w:val="zh-CN"/>
              </w:rPr>
              <w:t xml:space="preserve">526 </w:t>
            </w:r>
            <w:r>
              <w:rPr>
                <w:bCs/>
                <w:sz w:val="24"/>
                <w:lang w:val="zh-CN"/>
              </w:rPr>
              <w:t>km</w:t>
            </w:r>
            <w:r>
              <w:rPr>
                <w:bCs/>
                <w:sz w:val="24"/>
                <w:vertAlign w:val="superscript"/>
                <w:lang w:val="zh-CN"/>
              </w:rPr>
              <w:t>2</w:t>
            </w:r>
            <w:r>
              <w:rPr>
                <w:rFonts w:hint="eastAsia"/>
                <w:caps/>
                <w:sz w:val="24"/>
                <w:lang w:val="zh-CN"/>
              </w:rPr>
              <w:t>，占全区面积的</w:t>
            </w:r>
            <w:r>
              <w:rPr>
                <w:caps/>
                <w:sz w:val="24"/>
                <w:lang w:val="zh-CN"/>
              </w:rPr>
              <w:t>50.4%</w:t>
            </w:r>
            <w:r>
              <w:rPr>
                <w:rFonts w:hint="eastAsia"/>
                <w:caps/>
                <w:sz w:val="24"/>
                <w:lang w:val="zh-CN"/>
              </w:rPr>
              <w:t>，一般高度在</w:t>
            </w:r>
            <w:r>
              <w:rPr>
                <w:caps/>
                <w:sz w:val="24"/>
                <w:lang w:val="zh-CN"/>
              </w:rPr>
              <w:t>200</w:t>
            </w:r>
            <w:r>
              <w:rPr>
                <w:rFonts w:hint="eastAsia"/>
                <w:caps/>
                <w:sz w:val="24"/>
                <w:lang w:val="zh-CN"/>
              </w:rPr>
              <w:t>米以下；少数为高丘，高度在</w:t>
            </w:r>
            <w:r>
              <w:rPr>
                <w:caps/>
                <w:sz w:val="24"/>
                <w:lang w:val="zh-CN"/>
              </w:rPr>
              <w:t>250</w:t>
            </w:r>
            <w:r>
              <w:rPr>
                <w:rFonts w:hint="eastAsia"/>
                <w:caps/>
                <w:sz w:val="24"/>
                <w:lang w:val="zh-CN"/>
              </w:rPr>
              <w:t>～</w:t>
            </w:r>
            <w:r>
              <w:rPr>
                <w:caps/>
                <w:sz w:val="24"/>
                <w:lang w:val="zh-CN"/>
              </w:rPr>
              <w:t>500</w:t>
            </w:r>
            <w:r>
              <w:rPr>
                <w:rFonts w:hint="eastAsia"/>
                <w:caps/>
                <w:sz w:val="24"/>
                <w:lang w:val="zh-CN"/>
              </w:rPr>
              <w:t>米之间；溪流沿岸河谷平原，流溪河沿岸属台地，相对高度在</w:t>
            </w:r>
            <w:r>
              <w:rPr>
                <w:caps/>
                <w:sz w:val="24"/>
                <w:lang w:val="zh-CN"/>
              </w:rPr>
              <w:t>5</w:t>
            </w:r>
            <w:r>
              <w:rPr>
                <w:rFonts w:hint="eastAsia"/>
                <w:caps/>
                <w:sz w:val="24"/>
                <w:lang w:val="zh-CN"/>
              </w:rPr>
              <w:t>～</w:t>
            </w:r>
            <w:r>
              <w:rPr>
                <w:caps/>
                <w:sz w:val="24"/>
                <w:lang w:val="zh-CN"/>
              </w:rPr>
              <w:t>3 5</w:t>
            </w:r>
            <w:r>
              <w:rPr>
                <w:rFonts w:hint="eastAsia"/>
                <w:caps/>
                <w:sz w:val="24"/>
                <w:lang w:val="zh-CN"/>
              </w:rPr>
              <w:t>米。西部和西南部属台地和冲积平原，面积</w:t>
            </w:r>
            <w:r>
              <w:rPr>
                <w:caps/>
                <w:sz w:val="24"/>
                <w:lang w:val="zh-CN"/>
              </w:rPr>
              <w:t xml:space="preserve">516.7 </w:t>
            </w:r>
            <w:r>
              <w:rPr>
                <w:bCs/>
                <w:sz w:val="24"/>
                <w:lang w:val="zh-CN"/>
              </w:rPr>
              <w:t>km</w:t>
            </w:r>
            <w:r>
              <w:rPr>
                <w:bCs/>
                <w:sz w:val="24"/>
                <w:vertAlign w:val="superscript"/>
                <w:lang w:val="zh-CN"/>
              </w:rPr>
              <w:t>2</w:t>
            </w:r>
            <w:r>
              <w:rPr>
                <w:rFonts w:hint="eastAsia"/>
                <w:caps/>
                <w:sz w:val="24"/>
                <w:lang w:val="zh-CN"/>
              </w:rPr>
              <w:t>，占全区面积的</w:t>
            </w:r>
            <w:r>
              <w:rPr>
                <w:caps/>
                <w:sz w:val="24"/>
                <w:lang w:val="zh-CN"/>
              </w:rPr>
              <w:t>49.6%</w:t>
            </w:r>
            <w:r>
              <w:rPr>
                <w:rFonts w:hint="eastAsia"/>
                <w:caps/>
                <w:sz w:val="24"/>
                <w:lang w:val="zh-CN"/>
              </w:rPr>
              <w:t>。</w:t>
            </w:r>
          </w:p>
          <w:p>
            <w:pPr>
              <w:spacing w:line="360" w:lineRule="auto"/>
              <w:ind w:firstLine="480" w:firstLineChars="200"/>
              <w:jc w:val="left"/>
              <w:rPr>
                <w:caps/>
                <w:sz w:val="24"/>
                <w:lang w:val="zh-CN"/>
              </w:rPr>
            </w:pPr>
            <w:r>
              <w:rPr>
                <w:rFonts w:hint="eastAsia"/>
                <w:caps/>
                <w:sz w:val="24"/>
                <w:lang w:val="zh-CN"/>
              </w:rPr>
              <w:t>地质母岩主要有以下几种：石炭系的浅海相砂页岩，主要分布在太和一带；二叠系的灰黑色灰岩夹炭质页岩，埋伏在三元里、加禾一带地下，厚度</w:t>
            </w:r>
            <w:r>
              <w:rPr>
                <w:caps/>
                <w:sz w:val="24"/>
                <w:lang w:val="zh-CN"/>
              </w:rPr>
              <w:t xml:space="preserve">140 </w:t>
            </w:r>
            <w:r>
              <w:rPr>
                <w:bCs/>
                <w:sz w:val="24"/>
                <w:lang w:val="zh-CN"/>
              </w:rPr>
              <w:t>m</w:t>
            </w:r>
            <w:r>
              <w:rPr>
                <w:rFonts w:hint="eastAsia"/>
                <w:caps/>
                <w:sz w:val="24"/>
                <w:lang w:val="zh-CN"/>
              </w:rPr>
              <w:t>以上，灰黑色灰岩页岩粉砂岩与灰白色长石细砂岩互层，主要分布在新市加禾岗头联表等地，厚度在</w:t>
            </w:r>
            <w:r>
              <w:rPr>
                <w:caps/>
                <w:sz w:val="24"/>
                <w:lang w:val="zh-CN"/>
              </w:rPr>
              <w:t>800</w:t>
            </w:r>
            <w:r>
              <w:rPr>
                <w:bCs/>
                <w:sz w:val="24"/>
                <w:lang w:val="zh-CN"/>
              </w:rPr>
              <w:t>m</w:t>
            </w:r>
            <w:r>
              <w:rPr>
                <w:rFonts w:hint="eastAsia"/>
                <w:caps/>
                <w:sz w:val="24"/>
                <w:lang w:val="zh-CN"/>
              </w:rPr>
              <w:t>以上；下株罗系的石英砂岩，砂砾岩页岩，夹煤层，厚度大于</w:t>
            </w:r>
            <w:r>
              <w:rPr>
                <w:caps/>
                <w:sz w:val="24"/>
                <w:lang w:val="zh-CN"/>
              </w:rPr>
              <w:t>200</w:t>
            </w:r>
            <w:r>
              <w:rPr>
                <w:bCs/>
                <w:sz w:val="24"/>
                <w:lang w:val="zh-CN"/>
              </w:rPr>
              <w:t>m</w:t>
            </w:r>
            <w:r>
              <w:rPr>
                <w:rFonts w:hint="eastAsia"/>
                <w:caps/>
                <w:sz w:val="24"/>
                <w:lang w:val="zh-CN"/>
              </w:rPr>
              <w:t>，仅分布于龙归盆地东侧；白云山、帽峰山一带，主要有花岗岩、片麻岩和石英砂岩组成；第四纪沉积平原，以粘性上及砂砾层为主，分布于江村、鸦岗一带低洼地区及流溪河中游右河谷；广花盆地内，以软硬相间碎屑岩（粉砂岩、砂砾岩、泥质页岩和薄煤层）组成。</w:t>
            </w:r>
          </w:p>
          <w:p>
            <w:pPr>
              <w:numPr>
                <w:ilvl w:val="0"/>
                <w:numId w:val="4"/>
              </w:numPr>
              <w:spacing w:line="360" w:lineRule="auto"/>
              <w:rPr>
                <w:b/>
                <w:sz w:val="24"/>
              </w:rPr>
            </w:pPr>
            <w:r>
              <w:rPr>
                <w:rFonts w:hint="eastAsia"/>
                <w:b/>
                <w:sz w:val="24"/>
              </w:rPr>
              <w:t>气候与气象</w:t>
            </w:r>
          </w:p>
          <w:p>
            <w:pPr>
              <w:tabs>
                <w:tab w:val="left" w:pos="0"/>
              </w:tabs>
              <w:snapToGrid w:val="0"/>
              <w:spacing w:line="360" w:lineRule="auto"/>
              <w:ind w:firstLine="480" w:firstLineChars="200"/>
              <w:rPr>
                <w:sz w:val="24"/>
              </w:rPr>
            </w:pPr>
            <w:r>
              <w:rPr>
                <w:rFonts w:hint="eastAsia"/>
                <w:sz w:val="24"/>
              </w:rPr>
              <w:t>白云区地处南亚热带，属典型的季风海洋气候。由于背山面海，海洋性气候特别显著，具有温暖多雨、光热充足、温差较小、夏季长、霜期短等气候特征。冬夏季风的交替是广州季风气候突出的特征。冬季的偏北风因极地大陆气团向南伸展而形成，干燥寒冷；夏季偏南风向因热带海洋气团向北扩张所形成，温暖潮湿。夏季风转换为冬季风一般在</w:t>
            </w:r>
            <w:r>
              <w:rPr>
                <w:sz w:val="24"/>
              </w:rPr>
              <w:t>9</w:t>
            </w:r>
            <w:r>
              <w:rPr>
                <w:rFonts w:hint="eastAsia"/>
                <w:sz w:val="24"/>
              </w:rPr>
              <w:t>月份，而冬季风转换为夏季风在</w:t>
            </w:r>
            <w:r>
              <w:rPr>
                <w:sz w:val="24"/>
              </w:rPr>
              <w:t>4</w:t>
            </w:r>
            <w:r>
              <w:rPr>
                <w:rFonts w:hint="eastAsia"/>
                <w:sz w:val="24"/>
              </w:rPr>
              <w:t>月份。主风向频率：北风</w:t>
            </w:r>
            <w:r>
              <w:rPr>
                <w:sz w:val="24"/>
              </w:rPr>
              <w:t>16%</w:t>
            </w:r>
            <w:r>
              <w:rPr>
                <w:rFonts w:hint="eastAsia"/>
                <w:sz w:val="24"/>
              </w:rPr>
              <w:t>，东南风</w:t>
            </w:r>
            <w:r>
              <w:rPr>
                <w:sz w:val="24"/>
              </w:rPr>
              <w:t>9%</w:t>
            </w:r>
            <w:r>
              <w:rPr>
                <w:rFonts w:hint="eastAsia"/>
                <w:sz w:val="24"/>
              </w:rPr>
              <w:t>，东风</w:t>
            </w:r>
            <w:r>
              <w:rPr>
                <w:sz w:val="24"/>
              </w:rPr>
              <w:t>7%</w:t>
            </w:r>
            <w:r>
              <w:rPr>
                <w:rFonts w:hint="eastAsia"/>
                <w:sz w:val="24"/>
              </w:rPr>
              <w:t>。</w:t>
            </w:r>
          </w:p>
          <w:p>
            <w:pPr>
              <w:tabs>
                <w:tab w:val="left" w:pos="0"/>
              </w:tabs>
              <w:snapToGrid w:val="0"/>
              <w:spacing w:line="360" w:lineRule="auto"/>
              <w:ind w:firstLine="480" w:firstLineChars="200"/>
              <w:rPr>
                <w:sz w:val="24"/>
              </w:rPr>
            </w:pPr>
            <w:r>
              <w:rPr>
                <w:rFonts w:hint="eastAsia"/>
                <w:sz w:val="24"/>
              </w:rPr>
              <w:t>白云区多年平均气温</w:t>
            </w:r>
            <w:r>
              <w:rPr>
                <w:sz w:val="24"/>
              </w:rPr>
              <w:t xml:space="preserve">21.8 </w:t>
            </w:r>
            <w:r>
              <w:rPr>
                <w:rFonts w:hint="eastAsia" w:ascii="宋体" w:hAnsi="宋体" w:cs="宋体"/>
                <w:sz w:val="24"/>
              </w:rPr>
              <w:t>℃</w:t>
            </w:r>
            <w:r>
              <w:rPr>
                <w:rFonts w:hint="eastAsia"/>
                <w:sz w:val="24"/>
              </w:rPr>
              <w:t>，多年平均最高气温</w:t>
            </w:r>
            <w:r>
              <w:rPr>
                <w:sz w:val="24"/>
              </w:rPr>
              <w:t>26.2</w:t>
            </w:r>
            <w:r>
              <w:rPr>
                <w:rFonts w:hint="eastAsia" w:ascii="宋体" w:hAnsi="宋体" w:cs="宋体"/>
                <w:sz w:val="24"/>
              </w:rPr>
              <w:t>℃</w:t>
            </w:r>
            <w:r>
              <w:rPr>
                <w:rFonts w:hint="eastAsia"/>
                <w:sz w:val="24"/>
              </w:rPr>
              <w:t>，多年平均最低气温</w:t>
            </w:r>
            <w:r>
              <w:rPr>
                <w:sz w:val="24"/>
              </w:rPr>
              <w:t>18.5</w:t>
            </w:r>
            <w:r>
              <w:rPr>
                <w:rFonts w:hint="eastAsia" w:ascii="宋体" w:hAnsi="宋体" w:cs="宋体"/>
                <w:sz w:val="24"/>
              </w:rPr>
              <w:t>℃</w:t>
            </w:r>
            <w:r>
              <w:rPr>
                <w:rFonts w:hint="eastAsia"/>
                <w:sz w:val="24"/>
              </w:rPr>
              <w:t>。低温霜冻期出现的天数不多，无霜期平均</w:t>
            </w:r>
            <w:r>
              <w:rPr>
                <w:sz w:val="24"/>
              </w:rPr>
              <w:t>341</w:t>
            </w:r>
            <w:r>
              <w:rPr>
                <w:rFonts w:hint="eastAsia"/>
                <w:sz w:val="24"/>
              </w:rPr>
              <w:t>天。多年平均蒸发量</w:t>
            </w:r>
            <w:r>
              <w:rPr>
                <w:sz w:val="24"/>
              </w:rPr>
              <w:t>1640</w:t>
            </w:r>
            <w:r>
              <w:rPr>
                <w:rFonts w:hint="eastAsia"/>
                <w:sz w:val="24"/>
              </w:rPr>
              <w:t>毫米，年内分配不均，</w:t>
            </w:r>
            <w:r>
              <w:rPr>
                <w:sz w:val="24"/>
              </w:rPr>
              <w:t>7</w:t>
            </w:r>
            <w:r>
              <w:rPr>
                <w:rFonts w:hint="eastAsia"/>
                <w:sz w:val="24"/>
              </w:rPr>
              <w:t>～</w:t>
            </w:r>
            <w:r>
              <w:rPr>
                <w:sz w:val="24"/>
              </w:rPr>
              <w:t>10</w:t>
            </w:r>
            <w:r>
              <w:rPr>
                <w:rFonts w:hint="eastAsia"/>
                <w:sz w:val="24"/>
              </w:rPr>
              <w:t>月蒸发量较大，</w:t>
            </w:r>
            <w:r>
              <w:rPr>
                <w:sz w:val="24"/>
              </w:rPr>
              <w:t>12</w:t>
            </w:r>
            <w:r>
              <w:rPr>
                <w:rFonts w:hint="eastAsia"/>
                <w:sz w:val="24"/>
              </w:rPr>
              <w:t>～</w:t>
            </w:r>
            <w:r>
              <w:rPr>
                <w:sz w:val="24"/>
              </w:rPr>
              <w:t>4</w:t>
            </w:r>
            <w:r>
              <w:rPr>
                <w:rFonts w:hint="eastAsia"/>
                <w:sz w:val="24"/>
              </w:rPr>
              <w:t>月蒸发量较小。雨量充沛，日照充足，多年平均降雨量</w:t>
            </w:r>
            <w:r>
              <w:rPr>
                <w:sz w:val="24"/>
              </w:rPr>
              <w:t>1650mm</w:t>
            </w:r>
            <w:r>
              <w:rPr>
                <w:rFonts w:hint="eastAsia"/>
                <w:sz w:val="24"/>
              </w:rPr>
              <w:t>，变化范围在</w:t>
            </w:r>
            <w:r>
              <w:rPr>
                <w:sz w:val="24"/>
              </w:rPr>
              <w:t>1620~1680mm</w:t>
            </w:r>
            <w:r>
              <w:rPr>
                <w:rFonts w:hint="eastAsia"/>
                <w:sz w:val="24"/>
              </w:rPr>
              <w:t>之间，变差系数为</w:t>
            </w:r>
            <w:r>
              <w:rPr>
                <w:sz w:val="24"/>
              </w:rPr>
              <w:t>0.21</w:t>
            </w:r>
            <w:r>
              <w:rPr>
                <w:rFonts w:hint="eastAsia"/>
                <w:sz w:val="24"/>
              </w:rPr>
              <w:t>，多年平均河川径流量为</w:t>
            </w:r>
            <w:r>
              <w:rPr>
                <w:sz w:val="24"/>
              </w:rPr>
              <w:t>30.49</w:t>
            </w:r>
            <w:r>
              <w:rPr>
                <w:rFonts w:hint="eastAsia"/>
                <w:sz w:val="24"/>
              </w:rPr>
              <w:t>亿</w:t>
            </w:r>
            <w:r>
              <w:rPr>
                <w:sz w:val="24"/>
              </w:rPr>
              <w:t>m</w:t>
            </w:r>
            <w:r>
              <w:rPr>
                <w:sz w:val="24"/>
                <w:vertAlign w:val="superscript"/>
              </w:rPr>
              <w:t>3</w:t>
            </w:r>
            <w:r>
              <w:rPr>
                <w:rFonts w:hint="eastAsia"/>
                <w:sz w:val="24"/>
              </w:rPr>
              <w:t>。年内降雨分配不均，雨量集中在</w:t>
            </w:r>
            <w:r>
              <w:rPr>
                <w:sz w:val="24"/>
              </w:rPr>
              <w:t>4</w:t>
            </w:r>
            <w:r>
              <w:rPr>
                <w:rFonts w:hint="eastAsia"/>
                <w:sz w:val="24"/>
              </w:rPr>
              <w:t>～</w:t>
            </w:r>
            <w:r>
              <w:rPr>
                <w:sz w:val="24"/>
              </w:rPr>
              <w:t>9</w:t>
            </w:r>
            <w:r>
              <w:rPr>
                <w:rFonts w:hint="eastAsia"/>
                <w:sz w:val="24"/>
              </w:rPr>
              <w:t>月，约占全年雨量的</w:t>
            </w:r>
            <w:r>
              <w:rPr>
                <w:sz w:val="24"/>
              </w:rPr>
              <w:t>80.3%</w:t>
            </w:r>
            <w:r>
              <w:rPr>
                <w:rFonts w:hint="eastAsia"/>
                <w:sz w:val="24"/>
              </w:rPr>
              <w:t>，降雨强度大，易成洪涝灾害。</w:t>
            </w:r>
            <w:r>
              <w:rPr>
                <w:sz w:val="24"/>
              </w:rPr>
              <w:t>10</w:t>
            </w:r>
            <w:r>
              <w:rPr>
                <w:rFonts w:hint="eastAsia"/>
                <w:sz w:val="24"/>
              </w:rPr>
              <w:t>月至</w:t>
            </w:r>
            <w:r>
              <w:rPr>
                <w:sz w:val="24"/>
              </w:rPr>
              <w:t>3</w:t>
            </w:r>
            <w:r>
              <w:rPr>
                <w:rFonts w:hint="eastAsia"/>
                <w:sz w:val="24"/>
              </w:rPr>
              <w:t>月雨量稀少，常出现春旱。</w:t>
            </w:r>
          </w:p>
          <w:p>
            <w:pPr>
              <w:numPr>
                <w:ilvl w:val="0"/>
                <w:numId w:val="4"/>
              </w:numPr>
              <w:spacing w:line="360" w:lineRule="auto"/>
              <w:rPr>
                <w:b/>
                <w:sz w:val="24"/>
              </w:rPr>
            </w:pPr>
            <w:r>
              <w:rPr>
                <w:rFonts w:hint="eastAsia"/>
                <w:b/>
                <w:sz w:val="24"/>
              </w:rPr>
              <w:t>水文</w:t>
            </w:r>
          </w:p>
          <w:p>
            <w:pPr>
              <w:tabs>
                <w:tab w:val="left" w:pos="0"/>
              </w:tabs>
              <w:snapToGrid w:val="0"/>
              <w:spacing w:line="360" w:lineRule="auto"/>
              <w:ind w:firstLine="480" w:firstLineChars="200"/>
              <w:rPr>
                <w:sz w:val="24"/>
              </w:rPr>
            </w:pPr>
            <w:r>
              <w:rPr>
                <w:rFonts w:hint="eastAsia"/>
                <w:sz w:val="24"/>
              </w:rPr>
              <w:t>白云区全区主要河涌总计</w:t>
            </w:r>
            <w:r>
              <w:rPr>
                <w:sz w:val="24"/>
              </w:rPr>
              <w:t>78</w:t>
            </w:r>
            <w:r>
              <w:rPr>
                <w:rFonts w:hint="eastAsia"/>
                <w:sz w:val="24"/>
              </w:rPr>
              <w:t>条，总长</w:t>
            </w:r>
            <w:r>
              <w:rPr>
                <w:sz w:val="24"/>
              </w:rPr>
              <w:t>473km</w:t>
            </w:r>
            <w:r>
              <w:rPr>
                <w:rFonts w:hint="eastAsia"/>
                <w:sz w:val="24"/>
              </w:rPr>
              <w:t>。较长的河涌有</w:t>
            </w:r>
            <w:r>
              <w:rPr>
                <w:sz w:val="24"/>
              </w:rPr>
              <w:t>10</w:t>
            </w:r>
            <w:r>
              <w:rPr>
                <w:rFonts w:hint="eastAsia"/>
                <w:sz w:val="24"/>
              </w:rPr>
              <w:t>条：凤尾坑、马洞坑、头陂坑、良田坑、泥坑、沙坑、石井河、新市涌、白海面涌、跃进河。最长为凤尾坑，主河长</w:t>
            </w:r>
            <w:r>
              <w:rPr>
                <w:sz w:val="24"/>
              </w:rPr>
              <w:t>22km</w:t>
            </w:r>
            <w:r>
              <w:rPr>
                <w:rFonts w:hint="eastAsia"/>
                <w:sz w:val="24"/>
              </w:rPr>
              <w:t>；河涌分别汇入流溪河、白坭河与珠江。</w:t>
            </w:r>
          </w:p>
          <w:p>
            <w:pPr>
              <w:tabs>
                <w:tab w:val="left" w:pos="0"/>
              </w:tabs>
              <w:snapToGrid w:val="0"/>
              <w:spacing w:line="360" w:lineRule="auto"/>
              <w:ind w:firstLine="480" w:firstLineChars="200"/>
              <w:rPr>
                <w:sz w:val="24"/>
              </w:rPr>
            </w:pPr>
            <w:r>
              <w:rPr>
                <w:rFonts w:hint="eastAsia"/>
                <w:sz w:val="24"/>
              </w:rPr>
              <w:t>白云区水资源非常丰富，镇内流溪河、巴江河可航行</w:t>
            </w:r>
            <w:r>
              <w:rPr>
                <w:sz w:val="24"/>
              </w:rPr>
              <w:t>500</w:t>
            </w:r>
            <w:r>
              <w:rPr>
                <w:rFonts w:hint="eastAsia"/>
                <w:sz w:val="24"/>
              </w:rPr>
              <w:t>至</w:t>
            </w:r>
            <w:r>
              <w:rPr>
                <w:sz w:val="24"/>
              </w:rPr>
              <w:t>3000</w:t>
            </w:r>
            <w:r>
              <w:rPr>
                <w:rFonts w:hint="eastAsia"/>
                <w:sz w:val="24"/>
              </w:rPr>
              <w:t>吨船只，距华南地区最大的港口黄埔港仅</w:t>
            </w:r>
            <w:r>
              <w:rPr>
                <w:sz w:val="24"/>
              </w:rPr>
              <w:t>25</w:t>
            </w:r>
            <w:r>
              <w:rPr>
                <w:rFonts w:hint="eastAsia"/>
                <w:sz w:val="24"/>
              </w:rPr>
              <w:t>公里。被广州人亲切称为</w:t>
            </w:r>
            <w:r>
              <w:rPr>
                <w:sz w:val="24"/>
              </w:rPr>
              <w:t>“</w:t>
            </w:r>
            <w:r>
              <w:rPr>
                <w:rFonts w:hint="eastAsia"/>
                <w:sz w:val="24"/>
              </w:rPr>
              <w:t>母亲河</w:t>
            </w:r>
            <w:r>
              <w:rPr>
                <w:sz w:val="24"/>
              </w:rPr>
              <w:t>”</w:t>
            </w:r>
            <w:r>
              <w:rPr>
                <w:rFonts w:hint="eastAsia"/>
                <w:sz w:val="24"/>
              </w:rPr>
              <w:t>的流溪河，是广州市惟一一条完整的内河，也是广州市自来水的主要水源基地，流经白云区约</w:t>
            </w:r>
            <w:r>
              <w:rPr>
                <w:sz w:val="24"/>
              </w:rPr>
              <w:t>55</w:t>
            </w:r>
            <w:r>
              <w:rPr>
                <w:rFonts w:hint="eastAsia"/>
                <w:sz w:val="24"/>
              </w:rPr>
              <w:t>公里。流溪河、白坭河、官窑涌在三江口相汇后注入珠江。流溪河发源于从化市桂峰山，流经从化市、花都区、白云区，流溪河总流域面积</w:t>
            </w:r>
            <w:r>
              <w:rPr>
                <w:sz w:val="24"/>
              </w:rPr>
              <w:t>2300</w:t>
            </w:r>
            <w:r>
              <w:rPr>
                <w:rFonts w:hint="eastAsia"/>
                <w:sz w:val="24"/>
              </w:rPr>
              <w:t>平方公里，干流全长</w:t>
            </w:r>
            <w:r>
              <w:rPr>
                <w:sz w:val="24"/>
              </w:rPr>
              <w:t>156</w:t>
            </w:r>
            <w:r>
              <w:rPr>
                <w:rFonts w:hint="eastAsia"/>
                <w:sz w:val="24"/>
              </w:rPr>
              <w:t>公里，流域面积占广州市总土地面积的</w:t>
            </w:r>
            <w:r>
              <w:rPr>
                <w:sz w:val="24"/>
              </w:rPr>
              <w:t>31%</w:t>
            </w:r>
            <w:r>
              <w:rPr>
                <w:rFonts w:hint="eastAsia"/>
                <w:sz w:val="24"/>
              </w:rPr>
              <w:t>，流域耕地面积约占全市的</w:t>
            </w:r>
            <w:r>
              <w:rPr>
                <w:sz w:val="24"/>
              </w:rPr>
              <w:t>33%</w:t>
            </w:r>
            <w:r>
              <w:rPr>
                <w:rFonts w:hint="eastAsia"/>
                <w:sz w:val="24"/>
              </w:rPr>
              <w:t>，河面最宽处有</w:t>
            </w:r>
            <w:r>
              <w:rPr>
                <w:sz w:val="24"/>
              </w:rPr>
              <w:t>700</w:t>
            </w:r>
            <w:r>
              <w:rPr>
                <w:rFonts w:hint="eastAsia"/>
                <w:sz w:val="24"/>
              </w:rPr>
              <w:t>余米，最窄处也有</w:t>
            </w:r>
            <w:r>
              <w:rPr>
                <w:sz w:val="24"/>
              </w:rPr>
              <w:t>200</w:t>
            </w:r>
            <w:r>
              <w:rPr>
                <w:rFonts w:hint="eastAsia"/>
                <w:sz w:val="24"/>
              </w:rPr>
              <w:t>余米，作为珠江的一级支流，流溪河除灌溉、防洪、发电外，还负担了广州市自来水水源总供水量的</w:t>
            </w:r>
            <w:r>
              <w:rPr>
                <w:sz w:val="24"/>
              </w:rPr>
              <w:t>60%</w:t>
            </w:r>
            <w:r>
              <w:rPr>
                <w:rFonts w:hint="eastAsia"/>
                <w:sz w:val="24"/>
              </w:rPr>
              <w:t>，广州市一年用水量十余亿吨，流溪河便贡献了六亿吨之多，是广州市名副其实的</w:t>
            </w:r>
            <w:r>
              <w:rPr>
                <w:sz w:val="24"/>
              </w:rPr>
              <w:t>“</w:t>
            </w:r>
            <w:r>
              <w:rPr>
                <w:rFonts w:hint="eastAsia"/>
                <w:sz w:val="24"/>
              </w:rPr>
              <w:t>母亲河</w:t>
            </w:r>
            <w:r>
              <w:rPr>
                <w:sz w:val="24"/>
              </w:rPr>
              <w:t>”</w:t>
            </w:r>
            <w:r>
              <w:rPr>
                <w:rFonts w:hint="eastAsia"/>
                <w:sz w:val="24"/>
              </w:rPr>
              <w:t>。</w:t>
            </w:r>
          </w:p>
          <w:p>
            <w:pPr>
              <w:tabs>
                <w:tab w:val="left" w:pos="0"/>
              </w:tabs>
              <w:snapToGrid w:val="0"/>
              <w:spacing w:line="360" w:lineRule="auto"/>
              <w:ind w:firstLine="480" w:firstLineChars="200"/>
              <w:rPr>
                <w:sz w:val="24"/>
              </w:rPr>
            </w:pPr>
            <w:r>
              <w:rPr>
                <w:rFonts w:hint="eastAsia"/>
                <w:sz w:val="24"/>
              </w:rPr>
              <w:t>白海面涌，起源于磨刀坑水库，河道迂回曲折，由南向北、从东向西，经同泰路，穿越</w:t>
            </w:r>
            <w:r>
              <w:rPr>
                <w:sz w:val="24"/>
              </w:rPr>
              <w:t>105</w:t>
            </w:r>
            <w:r>
              <w:rPr>
                <w:rFonts w:hint="eastAsia"/>
                <w:sz w:val="24"/>
              </w:rPr>
              <w:t>国道、</w:t>
            </w:r>
            <w:r>
              <w:rPr>
                <w:sz w:val="24"/>
              </w:rPr>
              <w:t>106</w:t>
            </w:r>
            <w:r>
              <w:rPr>
                <w:rFonts w:hint="eastAsia"/>
                <w:sz w:val="24"/>
              </w:rPr>
              <w:t>国道，最终汇入流溪河，流域范围位于石井污水处理系统及龙归污水处理系统。主涌长度为</w:t>
            </w:r>
            <w:r>
              <w:rPr>
                <w:sz w:val="24"/>
              </w:rPr>
              <w:t>12.77km</w:t>
            </w:r>
            <w:r>
              <w:rPr>
                <w:rFonts w:hint="eastAsia"/>
                <w:sz w:val="24"/>
              </w:rPr>
              <w:t>，现有干流宽度为</w:t>
            </w:r>
            <w:r>
              <w:rPr>
                <w:sz w:val="24"/>
              </w:rPr>
              <w:t>10</w:t>
            </w:r>
            <w:r>
              <w:rPr>
                <w:rFonts w:hint="eastAsia"/>
                <w:sz w:val="24"/>
              </w:rPr>
              <w:t>～</w:t>
            </w:r>
            <w:r>
              <w:rPr>
                <w:sz w:val="24"/>
              </w:rPr>
              <w:t>50m</w:t>
            </w:r>
            <w:r>
              <w:rPr>
                <w:rFonts w:hint="eastAsia"/>
                <w:sz w:val="24"/>
              </w:rPr>
              <w:t>，集水面积为</w:t>
            </w:r>
            <w:r>
              <w:rPr>
                <w:sz w:val="24"/>
              </w:rPr>
              <w:t>56.53km</w:t>
            </w:r>
            <w:r>
              <w:rPr>
                <w:sz w:val="24"/>
                <w:vertAlign w:val="superscript"/>
              </w:rPr>
              <w:t>2</w:t>
            </w:r>
            <w:r>
              <w:rPr>
                <w:rFonts w:hint="eastAsia"/>
                <w:sz w:val="24"/>
              </w:rPr>
              <w:t>。流域内有红路支流、琏窿支流等多条支涌。</w:t>
            </w:r>
          </w:p>
          <w:p>
            <w:pPr>
              <w:spacing w:line="360" w:lineRule="auto"/>
              <w:ind w:firstLine="482" w:firstLineChars="200"/>
              <w:rPr>
                <w:b/>
                <w:sz w:val="24"/>
              </w:rPr>
            </w:pPr>
            <w:r>
              <w:rPr>
                <w:rFonts w:hint="eastAsia"/>
                <w:b/>
                <w:sz w:val="24"/>
              </w:rPr>
              <w:t>五、自然资源</w:t>
            </w:r>
          </w:p>
          <w:p>
            <w:pPr>
              <w:tabs>
                <w:tab w:val="left" w:pos="0"/>
              </w:tabs>
              <w:snapToGrid w:val="0"/>
              <w:spacing w:line="360" w:lineRule="auto"/>
              <w:ind w:firstLine="480" w:firstLineChars="200"/>
              <w:rPr>
                <w:sz w:val="24"/>
              </w:rPr>
            </w:pPr>
            <w:r>
              <w:rPr>
                <w:rFonts w:hint="eastAsia"/>
                <w:sz w:val="24"/>
              </w:rPr>
              <w:t>白云区是广州市的水源保护区，生态环境相当优越。白云区有白云山、帽峰山、南湖、流溪河等众多的山川河流和湖泊，人均土地资源、生态资源、旅游资源为广州各区之最。</w:t>
            </w:r>
          </w:p>
          <w:p>
            <w:pPr>
              <w:tabs>
                <w:tab w:val="left" w:pos="0"/>
              </w:tabs>
              <w:snapToGrid w:val="0"/>
              <w:spacing w:line="360" w:lineRule="auto"/>
              <w:ind w:firstLine="482" w:firstLineChars="200"/>
              <w:rPr>
                <w:b/>
                <w:bCs/>
                <w:sz w:val="24"/>
              </w:rPr>
            </w:pPr>
            <w:r>
              <w:rPr>
                <w:b/>
                <w:bCs/>
                <w:sz w:val="24"/>
              </w:rPr>
              <w:t>1</w:t>
            </w:r>
            <w:r>
              <w:rPr>
                <w:rFonts w:hint="eastAsia"/>
                <w:b/>
                <w:bCs/>
                <w:sz w:val="24"/>
              </w:rPr>
              <w:t>、土地资源</w:t>
            </w:r>
          </w:p>
          <w:p>
            <w:pPr>
              <w:tabs>
                <w:tab w:val="left" w:pos="0"/>
              </w:tabs>
              <w:snapToGrid w:val="0"/>
              <w:spacing w:line="360" w:lineRule="auto"/>
              <w:ind w:firstLine="480" w:firstLineChars="200"/>
              <w:rPr>
                <w:sz w:val="24"/>
              </w:rPr>
            </w:pPr>
            <w:r>
              <w:rPr>
                <w:rFonts w:hint="eastAsia"/>
                <w:sz w:val="24"/>
              </w:rPr>
              <w:t>白云区是一个城市与农村并存的区域，拥有</w:t>
            </w:r>
            <w:r>
              <w:rPr>
                <w:sz w:val="24"/>
              </w:rPr>
              <w:t>700</w:t>
            </w:r>
            <w:r>
              <w:rPr>
                <w:rFonts w:hint="eastAsia"/>
                <w:sz w:val="24"/>
              </w:rPr>
              <w:t>多平方公里的区域面积，土地资源相当丰富。</w:t>
            </w:r>
          </w:p>
          <w:p>
            <w:pPr>
              <w:tabs>
                <w:tab w:val="left" w:pos="0"/>
              </w:tabs>
              <w:snapToGrid w:val="0"/>
              <w:spacing w:line="360" w:lineRule="auto"/>
              <w:ind w:firstLine="482" w:firstLineChars="200"/>
              <w:rPr>
                <w:b/>
                <w:bCs/>
                <w:sz w:val="24"/>
              </w:rPr>
            </w:pPr>
            <w:r>
              <w:rPr>
                <w:b/>
                <w:bCs/>
                <w:sz w:val="24"/>
              </w:rPr>
              <w:t>2</w:t>
            </w:r>
            <w:r>
              <w:rPr>
                <w:rFonts w:hint="eastAsia"/>
                <w:b/>
                <w:bCs/>
                <w:sz w:val="24"/>
              </w:rPr>
              <w:t>、水利资源</w:t>
            </w:r>
          </w:p>
          <w:p>
            <w:pPr>
              <w:tabs>
                <w:tab w:val="left" w:pos="0"/>
              </w:tabs>
              <w:snapToGrid w:val="0"/>
              <w:spacing w:line="360" w:lineRule="auto"/>
              <w:ind w:firstLine="480" w:firstLineChars="200"/>
              <w:rPr>
                <w:sz w:val="24"/>
              </w:rPr>
            </w:pPr>
            <w:r>
              <w:rPr>
                <w:rFonts w:hint="eastAsia"/>
                <w:sz w:val="24"/>
              </w:rPr>
              <w:t>白云区水资源丰富，是广州市重要的水源涵养地。珠江流经白云区西部，巴江河、流溪河、小北江、白坭河、沙贝海等数条大小河流亦流经境内。其中流溪河从该区东北部横贯至西南部，是广州市民主要的饮水源。除此之外，白云区还有大小水库</w:t>
            </w:r>
            <w:r>
              <w:rPr>
                <w:sz w:val="24"/>
              </w:rPr>
              <w:t>14</w:t>
            </w:r>
            <w:r>
              <w:rPr>
                <w:rFonts w:hint="eastAsia"/>
                <w:sz w:val="24"/>
              </w:rPr>
              <w:t>个。</w:t>
            </w:r>
          </w:p>
          <w:p>
            <w:pPr>
              <w:tabs>
                <w:tab w:val="left" w:pos="0"/>
              </w:tabs>
              <w:snapToGrid w:val="0"/>
              <w:spacing w:line="360" w:lineRule="auto"/>
              <w:ind w:firstLine="482" w:firstLineChars="200"/>
              <w:rPr>
                <w:b/>
                <w:bCs/>
                <w:sz w:val="24"/>
              </w:rPr>
            </w:pPr>
            <w:r>
              <w:rPr>
                <w:b/>
                <w:bCs/>
                <w:sz w:val="24"/>
              </w:rPr>
              <w:t>3</w:t>
            </w:r>
            <w:r>
              <w:rPr>
                <w:rFonts w:hint="eastAsia"/>
                <w:b/>
                <w:bCs/>
                <w:sz w:val="24"/>
              </w:rPr>
              <w:t>、动植物资源</w:t>
            </w:r>
          </w:p>
          <w:p>
            <w:pPr>
              <w:tabs>
                <w:tab w:val="left" w:pos="0"/>
              </w:tabs>
              <w:snapToGrid w:val="0"/>
              <w:spacing w:line="360" w:lineRule="auto"/>
              <w:ind w:firstLine="480" w:firstLineChars="200"/>
              <w:rPr>
                <w:sz w:val="24"/>
              </w:rPr>
            </w:pPr>
            <w:r>
              <w:rPr>
                <w:rFonts w:hint="eastAsia"/>
                <w:sz w:val="24"/>
              </w:rPr>
              <w:t>白云区境内动植物资源丰富，其中的帽峰山植被以天然次生阔叶林、针阔混交林和人工阔叶林为主，有黄樟、中华楠、观光木、桫椤等珍贵树种，也穿山甲、猫头鹰、蟒蛇等保护动物。</w:t>
            </w:r>
          </w:p>
          <w:p>
            <w:pPr>
              <w:tabs>
                <w:tab w:val="left" w:pos="0"/>
              </w:tabs>
              <w:snapToGrid w:val="0"/>
              <w:spacing w:line="360" w:lineRule="auto"/>
              <w:ind w:firstLine="482" w:firstLineChars="200"/>
              <w:rPr>
                <w:b/>
                <w:bCs/>
                <w:sz w:val="24"/>
              </w:rPr>
            </w:pPr>
            <w:r>
              <w:rPr>
                <w:b/>
                <w:bCs/>
                <w:sz w:val="24"/>
              </w:rPr>
              <w:t>4</w:t>
            </w:r>
            <w:r>
              <w:rPr>
                <w:rFonts w:hint="eastAsia"/>
                <w:b/>
                <w:bCs/>
                <w:sz w:val="24"/>
              </w:rPr>
              <w:t>、生态旅游资源</w:t>
            </w:r>
          </w:p>
          <w:p>
            <w:pPr>
              <w:spacing w:line="360" w:lineRule="auto"/>
              <w:ind w:firstLine="480" w:firstLineChars="200"/>
              <w:rPr>
                <w:rFonts w:hint="eastAsia"/>
                <w:b/>
                <w:sz w:val="24"/>
              </w:rPr>
            </w:pPr>
            <w:r>
              <w:rPr>
                <w:rFonts w:hint="eastAsia"/>
                <w:sz w:val="24"/>
              </w:rPr>
              <w:t>白云区因其独特的地貌和丰富的自然生态资源，使之形成了以山水为特色的旅游、度假生态经济圈。在白云区内有着南湖国家级旅游度假区，国家</w:t>
            </w:r>
            <w:r>
              <w:rPr>
                <w:sz w:val="24"/>
              </w:rPr>
              <w:t>4A</w:t>
            </w:r>
            <w:r>
              <w:rPr>
                <w:rFonts w:hint="eastAsia"/>
                <w:sz w:val="24"/>
              </w:rPr>
              <w:t>级的白云山风景名胜区，还有省级森林公园帽峰山。其中被称为广州市</w:t>
            </w:r>
            <w:r>
              <w:rPr>
                <w:sz w:val="24"/>
              </w:rPr>
              <w:t>“</w:t>
            </w:r>
            <w:r>
              <w:rPr>
                <w:rFonts w:hint="eastAsia"/>
                <w:sz w:val="24"/>
              </w:rPr>
              <w:t>市肺</w:t>
            </w:r>
            <w:r>
              <w:rPr>
                <w:sz w:val="24"/>
              </w:rPr>
              <w:t>”</w:t>
            </w:r>
            <w:r>
              <w:rPr>
                <w:rFonts w:hint="eastAsia"/>
                <w:sz w:val="24"/>
              </w:rPr>
              <w:t>的白云山方圆</w:t>
            </w:r>
            <w:r>
              <w:rPr>
                <w:sz w:val="24"/>
              </w:rPr>
              <w:t>28</w:t>
            </w:r>
            <w:r>
              <w:rPr>
                <w:rFonts w:hint="eastAsia"/>
                <w:sz w:val="24"/>
              </w:rPr>
              <w:t>平方公里，相当澳门特区的面积大小，每天吸收二氧化碳</w:t>
            </w:r>
            <w:r>
              <w:rPr>
                <w:sz w:val="24"/>
              </w:rPr>
              <w:t>2800</w:t>
            </w:r>
            <w:r>
              <w:rPr>
                <w:rFonts w:hint="eastAsia"/>
                <w:sz w:val="24"/>
              </w:rPr>
              <w:t>吨，放出氧气</w:t>
            </w:r>
            <w:r>
              <w:rPr>
                <w:sz w:val="24"/>
              </w:rPr>
              <w:t>2100</w:t>
            </w:r>
            <w:r>
              <w:rPr>
                <w:rFonts w:hint="eastAsia"/>
                <w:sz w:val="24"/>
              </w:rPr>
              <w:t>吨，可供约300万人正常呼吸。</w:t>
            </w:r>
          </w:p>
          <w:p>
            <w:pPr>
              <w:spacing w:line="360" w:lineRule="auto"/>
              <w:ind w:firstLine="482" w:firstLineChars="200"/>
              <w:rPr>
                <w:rFonts w:hint="eastAsia"/>
                <w:b/>
                <w:sz w:val="24"/>
              </w:rPr>
            </w:pPr>
            <w:r>
              <w:rPr>
                <w:rFonts w:hint="eastAsia"/>
                <w:b/>
                <w:sz w:val="24"/>
                <w:lang w:val="en-US" w:eastAsia="zh-CN"/>
              </w:rPr>
              <w:t>六</w:t>
            </w:r>
            <w:r>
              <w:rPr>
                <w:rFonts w:hint="eastAsia"/>
                <w:b/>
                <w:sz w:val="24"/>
              </w:rPr>
              <w:t>、龙归污水处理厂</w:t>
            </w:r>
          </w:p>
          <w:p>
            <w:pPr>
              <w:spacing w:line="360" w:lineRule="auto"/>
              <w:ind w:firstLine="480" w:firstLineChars="200"/>
              <w:rPr>
                <w:rFonts w:hint="eastAsia" w:eastAsia="宋体"/>
                <w:sz w:val="24"/>
                <w:lang w:eastAsia="zh-CN"/>
              </w:rPr>
            </w:pPr>
            <w:r>
              <w:rPr>
                <w:rFonts w:hint="eastAsia" w:eastAsia="宋体"/>
                <w:sz w:val="24"/>
                <w:lang w:eastAsia="zh-CN"/>
              </w:rPr>
              <w:t>龙归污水处理厂位于白云区新机场高速公路东侧、白海面北侧，总设计规模为日处理污水14万吨，负责处理白云区人和镇、龙归镇和太和镇西侧的生活污水，服务面积143.7平方公里，服务人口约30万人。目前污水处理能力为5万吨/日，建成厂外配套提升泵站2座。一期工程于2005年9月开工建设，2009年5月建成投产，设计污水处理能力为5万吨/日，采用改良A</w:t>
            </w:r>
            <w:r>
              <w:rPr>
                <w:rFonts w:hint="eastAsia" w:eastAsia="宋体"/>
                <w:sz w:val="24"/>
                <w:vertAlign w:val="superscript"/>
                <w:lang w:eastAsia="zh-CN"/>
              </w:rPr>
              <w:t>2</w:t>
            </w:r>
            <w:r>
              <w:rPr>
                <w:rFonts w:hint="eastAsia" w:eastAsia="宋体"/>
                <w:sz w:val="24"/>
                <w:lang w:eastAsia="zh-CN"/>
              </w:rPr>
              <w:t>/O工艺，尾水排放执行《城镇污水处理厂污染物排放标准》（GB18918-2002）一级A标准。二期于2016年12月调试运行，二期生产规模达9万吨/日，采用改良A</w:t>
            </w:r>
            <w:r>
              <w:rPr>
                <w:rFonts w:hint="eastAsia" w:eastAsia="宋体"/>
                <w:sz w:val="24"/>
                <w:vertAlign w:val="superscript"/>
                <w:lang w:eastAsia="zh-CN"/>
              </w:rPr>
              <w:t>2</w:t>
            </w:r>
            <w:r>
              <w:rPr>
                <w:rFonts w:hint="eastAsia" w:eastAsia="宋体"/>
                <w:sz w:val="24"/>
                <w:lang w:eastAsia="zh-CN"/>
              </w:rPr>
              <w:t>/O工艺，尾水排放执行《城镇污水处理厂污染物排放标准》（GB18918-2002）一级A标准与广东省《水污染物排放限值标准》（DB44/26-2001）第二时段一级标准的较严者。</w:t>
            </w:r>
          </w:p>
          <w:p>
            <w:pPr>
              <w:pStyle w:val="3"/>
              <w:spacing w:before="0" w:after="0" w:line="360" w:lineRule="auto"/>
              <w:jc w:val="center"/>
              <w:outlineLvl w:val="1"/>
              <w:rPr>
                <w:rFonts w:ascii="Times New Roman" w:hAnsi="Times New Roman"/>
                <w:b w:val="0"/>
                <w:sz w:val="24"/>
                <w:szCs w:val="24"/>
              </w:rPr>
            </w:pPr>
            <w:r>
              <w:rPr>
                <w:rFonts w:hint="eastAsia" w:ascii="Times New Roman" w:hAnsi="Times New Roman"/>
                <w:sz w:val="21"/>
                <w:szCs w:val="21"/>
              </w:rPr>
              <w:t>表2-1</w:t>
            </w:r>
            <w:r>
              <w:rPr>
                <w:rFonts w:ascii="Times New Roman" w:hAnsi="Times New Roman"/>
                <w:sz w:val="21"/>
                <w:szCs w:val="21"/>
              </w:rPr>
              <w:br w:type="page"/>
            </w:r>
            <w:r>
              <w:rPr>
                <w:rFonts w:hint="eastAsia" w:ascii="Times New Roman" w:hAnsi="Times New Roman"/>
                <w:bCs w:val="0"/>
                <w:sz w:val="21"/>
                <w:szCs w:val="21"/>
              </w:rPr>
              <w:t>建设项目环境功能区区划分类表</w:t>
            </w:r>
          </w:p>
          <w:tbl>
            <w:tblPr>
              <w:tblStyle w:val="15"/>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4"/>
              <w:gridCol w:w="2976"/>
              <w:gridCol w:w="4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1" w:hRule="atLeast"/>
                <w:jc w:val="center"/>
              </w:trPr>
              <w:tc>
                <w:tcPr>
                  <w:tcW w:w="644" w:type="dxa"/>
                  <w:vAlign w:val="center"/>
                </w:tcPr>
                <w:p>
                  <w:pPr>
                    <w:spacing w:line="360" w:lineRule="auto"/>
                    <w:jc w:val="center"/>
                    <w:rPr>
                      <w:b/>
                    </w:rPr>
                  </w:pPr>
                  <w:r>
                    <w:rPr>
                      <w:rFonts w:hint="eastAsia"/>
                      <w:b/>
                    </w:rPr>
                    <w:t>序号</w:t>
                  </w:r>
                </w:p>
              </w:tc>
              <w:tc>
                <w:tcPr>
                  <w:tcW w:w="2976" w:type="dxa"/>
                  <w:vAlign w:val="center"/>
                </w:tcPr>
                <w:p>
                  <w:pPr>
                    <w:spacing w:line="360" w:lineRule="auto"/>
                    <w:jc w:val="center"/>
                    <w:rPr>
                      <w:b/>
                    </w:rPr>
                  </w:pPr>
                  <w:r>
                    <w:rPr>
                      <w:rFonts w:hint="eastAsia"/>
                      <w:b/>
                    </w:rPr>
                    <w:t>项目</w:t>
                  </w:r>
                </w:p>
              </w:tc>
              <w:tc>
                <w:tcPr>
                  <w:tcW w:w="4676" w:type="dxa"/>
                  <w:vAlign w:val="center"/>
                </w:tcPr>
                <w:p>
                  <w:pPr>
                    <w:spacing w:line="360" w:lineRule="auto"/>
                    <w:jc w:val="center"/>
                    <w:rPr>
                      <w:b/>
                    </w:rPr>
                  </w:pPr>
                  <w:r>
                    <w:rPr>
                      <w:rFonts w:hint="eastAsia"/>
                      <w:b/>
                    </w:rPr>
                    <w:t>功能区类别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30" w:hRule="atLeast"/>
                <w:jc w:val="center"/>
              </w:trPr>
              <w:tc>
                <w:tcPr>
                  <w:tcW w:w="644" w:type="dxa"/>
                  <w:vAlign w:val="center"/>
                </w:tcPr>
                <w:p>
                  <w:pPr>
                    <w:spacing w:line="360" w:lineRule="auto"/>
                    <w:jc w:val="center"/>
                  </w:pPr>
                  <w:r>
                    <w:rPr>
                      <w:rFonts w:hint="eastAsia"/>
                    </w:rPr>
                    <w:t>1</w:t>
                  </w:r>
                </w:p>
              </w:tc>
              <w:tc>
                <w:tcPr>
                  <w:tcW w:w="2976" w:type="dxa"/>
                  <w:vAlign w:val="center"/>
                </w:tcPr>
                <w:p>
                  <w:pPr>
                    <w:spacing w:line="360" w:lineRule="auto"/>
                    <w:jc w:val="center"/>
                  </w:pPr>
                  <w:r>
                    <w:rPr>
                      <w:rFonts w:hint="eastAsia"/>
                    </w:rPr>
                    <w:t>地面水环境</w:t>
                  </w:r>
                </w:p>
              </w:tc>
              <w:tc>
                <w:tcPr>
                  <w:tcW w:w="4676" w:type="dxa"/>
                  <w:vAlign w:val="center"/>
                </w:tcPr>
                <w:p>
                  <w:pPr>
                    <w:spacing w:line="360" w:lineRule="auto"/>
                    <w:jc w:val="center"/>
                  </w:pPr>
                  <w:r>
                    <w:rPr>
                      <w:rFonts w:hint="eastAsia" w:hAnsi="宋体"/>
                    </w:rPr>
                    <w:t>本项目纳污水体为</w:t>
                  </w:r>
                  <w:r>
                    <w:rPr>
                      <w:rFonts w:hint="eastAsia" w:hAnsi="宋体"/>
                      <w:lang w:val="en-US" w:eastAsia="zh-CN"/>
                    </w:rPr>
                    <w:t>石井河</w:t>
                  </w:r>
                  <w:r>
                    <w:rPr>
                      <w:rFonts w:hint="eastAsia" w:hAnsi="宋体"/>
                    </w:rPr>
                    <w:t>，</w:t>
                  </w:r>
                  <w:r>
                    <w:rPr>
                      <w:rFonts w:hAnsi="宋体"/>
                    </w:rPr>
                    <w:t>执行《地表水环境质量标准》（</w:t>
                  </w:r>
                  <w:r>
                    <w:t>GB3838-2002)</w:t>
                  </w:r>
                  <w:r>
                    <w:rPr>
                      <w:rFonts w:ascii="宋体" w:hAnsi="宋体"/>
                    </w:rPr>
                    <w:t>Ⅲ</w:t>
                  </w:r>
                  <w:r>
                    <w:rPr>
                      <w:rFonts w:hAnsi="宋体"/>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59" w:hRule="atLeast"/>
                <w:jc w:val="center"/>
              </w:trPr>
              <w:tc>
                <w:tcPr>
                  <w:tcW w:w="644" w:type="dxa"/>
                  <w:vAlign w:val="center"/>
                </w:tcPr>
                <w:p>
                  <w:pPr>
                    <w:spacing w:line="360" w:lineRule="auto"/>
                    <w:jc w:val="center"/>
                  </w:pPr>
                  <w:r>
                    <w:rPr>
                      <w:rFonts w:hint="eastAsia"/>
                    </w:rPr>
                    <w:t>2</w:t>
                  </w:r>
                </w:p>
              </w:tc>
              <w:tc>
                <w:tcPr>
                  <w:tcW w:w="2976" w:type="dxa"/>
                  <w:vAlign w:val="center"/>
                </w:tcPr>
                <w:p>
                  <w:pPr>
                    <w:spacing w:line="360" w:lineRule="auto"/>
                    <w:jc w:val="center"/>
                  </w:pPr>
                  <w:r>
                    <w:rPr>
                      <w:rFonts w:hint="eastAsia"/>
                    </w:rPr>
                    <w:t>大气环境</w:t>
                  </w:r>
                </w:p>
              </w:tc>
              <w:tc>
                <w:tcPr>
                  <w:tcW w:w="4676" w:type="dxa"/>
                  <w:vAlign w:val="center"/>
                </w:tcPr>
                <w:p>
                  <w:pPr>
                    <w:spacing w:line="360" w:lineRule="auto"/>
                    <w:jc w:val="center"/>
                  </w:pPr>
                  <w:r>
                    <w:rPr>
                      <w:rFonts w:hint="eastAsia"/>
                    </w:rPr>
                    <w:t>属二类区，执行《环境空气质量标准》（</w:t>
                  </w:r>
                  <w:r>
                    <w:t>GB3095-2012</w:t>
                  </w:r>
                  <w:r>
                    <w:rPr>
                      <w:rFonts w:hint="eastAsia"/>
                    </w:rPr>
                    <w:t>）二级标准及2018年修改单要求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30" w:hRule="atLeast"/>
                <w:jc w:val="center"/>
              </w:trPr>
              <w:tc>
                <w:tcPr>
                  <w:tcW w:w="644" w:type="dxa"/>
                  <w:vAlign w:val="center"/>
                </w:tcPr>
                <w:p>
                  <w:pPr>
                    <w:spacing w:line="360" w:lineRule="auto"/>
                    <w:jc w:val="center"/>
                  </w:pPr>
                  <w:r>
                    <w:rPr>
                      <w:rFonts w:hint="eastAsia"/>
                    </w:rPr>
                    <w:t>3</w:t>
                  </w:r>
                </w:p>
              </w:tc>
              <w:tc>
                <w:tcPr>
                  <w:tcW w:w="2976" w:type="dxa"/>
                  <w:vAlign w:val="center"/>
                </w:tcPr>
                <w:p>
                  <w:pPr>
                    <w:spacing w:line="360" w:lineRule="auto"/>
                    <w:jc w:val="center"/>
                  </w:pPr>
                  <w:r>
                    <w:rPr>
                      <w:rFonts w:hint="eastAsia"/>
                    </w:rPr>
                    <w:t>声环境</w:t>
                  </w:r>
                </w:p>
              </w:tc>
              <w:tc>
                <w:tcPr>
                  <w:tcW w:w="4676" w:type="dxa"/>
                  <w:vAlign w:val="center"/>
                </w:tcPr>
                <w:p>
                  <w:pPr>
                    <w:spacing w:line="360" w:lineRule="auto"/>
                    <w:jc w:val="center"/>
                  </w:pPr>
                  <w:r>
                    <w:rPr>
                      <w:rFonts w:hint="eastAsia"/>
                    </w:rPr>
                    <w:t>属</w:t>
                  </w:r>
                  <w:r>
                    <w:t>2</w:t>
                  </w:r>
                  <w:r>
                    <w:rPr>
                      <w:rFonts w:hint="eastAsia"/>
                    </w:rPr>
                    <w:t>类区，执行《声环境质量标准》（</w:t>
                  </w:r>
                  <w:r>
                    <w:t>GB3096-2008</w:t>
                  </w:r>
                  <w:r>
                    <w:rPr>
                      <w:rFonts w:hint="eastAsia"/>
                    </w:rPr>
                    <w:t>）</w:t>
                  </w:r>
                  <w:r>
                    <w:t>2</w:t>
                  </w:r>
                  <w:r>
                    <w:rPr>
                      <w:rFonts w:hint="eastAsia"/>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1" w:hRule="atLeast"/>
                <w:jc w:val="center"/>
              </w:trPr>
              <w:tc>
                <w:tcPr>
                  <w:tcW w:w="644" w:type="dxa"/>
                  <w:vAlign w:val="center"/>
                </w:tcPr>
                <w:p>
                  <w:pPr>
                    <w:spacing w:line="360" w:lineRule="auto"/>
                    <w:jc w:val="center"/>
                  </w:pPr>
                  <w:r>
                    <w:rPr>
                      <w:rFonts w:hint="eastAsia"/>
                    </w:rPr>
                    <w:t>4</w:t>
                  </w:r>
                </w:p>
              </w:tc>
              <w:tc>
                <w:tcPr>
                  <w:tcW w:w="2976" w:type="dxa"/>
                  <w:vAlign w:val="center"/>
                </w:tcPr>
                <w:p>
                  <w:pPr>
                    <w:spacing w:line="360" w:lineRule="auto"/>
                    <w:jc w:val="center"/>
                  </w:pPr>
                  <w:r>
                    <w:rPr>
                      <w:rFonts w:hint="eastAsia"/>
                    </w:rPr>
                    <w:t>是否基本农田保护区</w:t>
                  </w:r>
                </w:p>
              </w:tc>
              <w:tc>
                <w:tcPr>
                  <w:tcW w:w="4676" w:type="dxa"/>
                  <w:vAlign w:val="center"/>
                </w:tcPr>
                <w:p>
                  <w:pPr>
                    <w:spacing w:line="360" w:lineRule="auto"/>
                    <w:jc w:val="center"/>
                  </w:pPr>
                  <w:r>
                    <w:rPr>
                      <w:rFonts w:hint="eastAsi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08" w:hRule="atLeast"/>
                <w:jc w:val="center"/>
              </w:trPr>
              <w:tc>
                <w:tcPr>
                  <w:tcW w:w="644" w:type="dxa"/>
                  <w:vAlign w:val="center"/>
                </w:tcPr>
                <w:p>
                  <w:pPr>
                    <w:spacing w:line="360" w:lineRule="auto"/>
                    <w:jc w:val="center"/>
                  </w:pPr>
                  <w:r>
                    <w:rPr>
                      <w:rFonts w:hint="eastAsia"/>
                    </w:rPr>
                    <w:t>5</w:t>
                  </w:r>
                </w:p>
              </w:tc>
              <w:tc>
                <w:tcPr>
                  <w:tcW w:w="2976" w:type="dxa"/>
                  <w:vAlign w:val="center"/>
                </w:tcPr>
                <w:p>
                  <w:pPr>
                    <w:spacing w:line="360" w:lineRule="auto"/>
                    <w:jc w:val="center"/>
                  </w:pPr>
                  <w:r>
                    <w:rPr>
                      <w:rFonts w:hint="eastAsia"/>
                    </w:rPr>
                    <w:t>是否风景保护区、特殊保护区</w:t>
                  </w:r>
                </w:p>
              </w:tc>
              <w:tc>
                <w:tcPr>
                  <w:tcW w:w="4676" w:type="dxa"/>
                  <w:vAlign w:val="center"/>
                </w:tcPr>
                <w:p>
                  <w:pPr>
                    <w:spacing w:line="360" w:lineRule="auto"/>
                    <w:jc w:val="center"/>
                  </w:pPr>
                  <w:r>
                    <w:rPr>
                      <w:rFonts w:hint="eastAsi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3" w:hRule="atLeast"/>
                <w:jc w:val="center"/>
              </w:trPr>
              <w:tc>
                <w:tcPr>
                  <w:tcW w:w="644" w:type="dxa"/>
                  <w:vAlign w:val="center"/>
                </w:tcPr>
                <w:p>
                  <w:pPr>
                    <w:spacing w:line="360" w:lineRule="auto"/>
                    <w:jc w:val="center"/>
                  </w:pPr>
                  <w:r>
                    <w:rPr>
                      <w:rFonts w:hint="eastAsia"/>
                    </w:rPr>
                    <w:t>7</w:t>
                  </w:r>
                </w:p>
              </w:tc>
              <w:tc>
                <w:tcPr>
                  <w:tcW w:w="2976" w:type="dxa"/>
                  <w:vAlign w:val="center"/>
                </w:tcPr>
                <w:p>
                  <w:pPr>
                    <w:spacing w:line="360" w:lineRule="auto"/>
                    <w:jc w:val="center"/>
                  </w:pPr>
                  <w:r>
                    <w:rPr>
                      <w:rFonts w:hint="eastAsia"/>
                    </w:rPr>
                    <w:t>是否污水处理厂集水范围</w:t>
                  </w:r>
                </w:p>
              </w:tc>
              <w:tc>
                <w:tcPr>
                  <w:tcW w:w="4676" w:type="dxa"/>
                  <w:vAlign w:val="center"/>
                </w:tcPr>
                <w:p>
                  <w:pPr>
                    <w:spacing w:line="360" w:lineRule="auto"/>
                    <w:jc w:val="center"/>
                  </w:pPr>
                  <w:r>
                    <w:rPr>
                      <w:rFonts w:hint="eastAsia"/>
                    </w:rPr>
                    <w:t>是（龙归污水处理厂）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08" w:hRule="atLeast"/>
                <w:jc w:val="center"/>
              </w:trPr>
              <w:tc>
                <w:tcPr>
                  <w:tcW w:w="644" w:type="dxa"/>
                  <w:vAlign w:val="center"/>
                </w:tcPr>
                <w:p>
                  <w:pPr>
                    <w:spacing w:line="360" w:lineRule="auto"/>
                    <w:jc w:val="center"/>
                  </w:pPr>
                  <w:r>
                    <w:rPr>
                      <w:rFonts w:hint="eastAsia"/>
                    </w:rPr>
                    <w:t>8</w:t>
                  </w:r>
                </w:p>
              </w:tc>
              <w:tc>
                <w:tcPr>
                  <w:tcW w:w="2976" w:type="dxa"/>
                  <w:vAlign w:val="center"/>
                </w:tcPr>
                <w:p>
                  <w:pPr>
                    <w:spacing w:line="360" w:lineRule="auto"/>
                    <w:jc w:val="center"/>
                  </w:pPr>
                  <w:r>
                    <w:rPr>
                      <w:rFonts w:hint="eastAsia"/>
                    </w:rPr>
                    <w:t>是否管道煤气管网区</w:t>
                  </w:r>
                </w:p>
              </w:tc>
              <w:tc>
                <w:tcPr>
                  <w:tcW w:w="4676" w:type="dxa"/>
                  <w:vAlign w:val="center"/>
                </w:tcPr>
                <w:p>
                  <w:pPr>
                    <w:spacing w:line="360" w:lineRule="auto"/>
                    <w:jc w:val="center"/>
                  </w:pPr>
                  <w:r>
                    <w:rPr>
                      <w:rFonts w:hint="eastAsi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1" w:hRule="atLeast"/>
                <w:jc w:val="center"/>
              </w:trPr>
              <w:tc>
                <w:tcPr>
                  <w:tcW w:w="644" w:type="dxa"/>
                  <w:vAlign w:val="center"/>
                </w:tcPr>
                <w:p>
                  <w:pPr>
                    <w:spacing w:line="360" w:lineRule="auto"/>
                    <w:jc w:val="center"/>
                  </w:pPr>
                  <w:r>
                    <w:rPr>
                      <w:rFonts w:hint="eastAsia"/>
                    </w:rPr>
                    <w:t>9</w:t>
                  </w:r>
                </w:p>
              </w:tc>
              <w:tc>
                <w:tcPr>
                  <w:tcW w:w="2976" w:type="dxa"/>
                  <w:vAlign w:val="center"/>
                </w:tcPr>
                <w:p>
                  <w:pPr>
                    <w:spacing w:line="360" w:lineRule="auto"/>
                    <w:jc w:val="center"/>
                  </w:pPr>
                  <w:r>
                    <w:rPr>
                      <w:rFonts w:hint="eastAsia"/>
                    </w:rPr>
                    <w:t>是否必须预拌混凝土范围</w:t>
                  </w:r>
                </w:p>
              </w:tc>
              <w:tc>
                <w:tcPr>
                  <w:tcW w:w="4676" w:type="dxa"/>
                  <w:vAlign w:val="center"/>
                </w:tcPr>
                <w:p>
                  <w:pPr>
                    <w:spacing w:line="360" w:lineRule="auto"/>
                    <w:jc w:val="center"/>
                  </w:pPr>
                  <w:r>
                    <w:rPr>
                      <w:rFonts w:hint="eastAsi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21" w:hRule="atLeast"/>
                <w:jc w:val="center"/>
              </w:trPr>
              <w:tc>
                <w:tcPr>
                  <w:tcW w:w="644" w:type="dxa"/>
                  <w:vAlign w:val="center"/>
                </w:tcPr>
                <w:p>
                  <w:pPr>
                    <w:spacing w:line="360" w:lineRule="auto"/>
                    <w:jc w:val="center"/>
                  </w:pPr>
                  <w:r>
                    <w:rPr>
                      <w:rFonts w:hint="eastAsia"/>
                    </w:rPr>
                    <w:t>10</w:t>
                  </w:r>
                </w:p>
              </w:tc>
              <w:tc>
                <w:tcPr>
                  <w:tcW w:w="2976" w:type="dxa"/>
                  <w:vAlign w:val="center"/>
                </w:tcPr>
                <w:p>
                  <w:pPr>
                    <w:spacing w:line="360" w:lineRule="auto"/>
                    <w:jc w:val="center"/>
                  </w:pPr>
                  <w:r>
                    <w:rPr>
                      <w:rFonts w:hint="eastAsia"/>
                    </w:rPr>
                    <w:t>是否环保条例</w:t>
                  </w:r>
                  <w:r>
                    <w:t>24</w:t>
                  </w:r>
                  <w:r>
                    <w:rPr>
                      <w:rFonts w:hint="eastAsia"/>
                    </w:rPr>
                    <w:t>条规定范围</w:t>
                  </w:r>
                </w:p>
              </w:tc>
              <w:tc>
                <w:tcPr>
                  <w:tcW w:w="4676" w:type="dxa"/>
                  <w:vAlign w:val="center"/>
                </w:tcPr>
                <w:p>
                  <w:pPr>
                    <w:spacing w:line="360" w:lineRule="auto"/>
                    <w:jc w:val="center"/>
                  </w:pPr>
                  <w:r>
                    <w:rPr>
                      <w:rFonts w:hint="eastAsia"/>
                    </w:rPr>
                    <w:t>否</w:t>
                  </w:r>
                </w:p>
              </w:tc>
            </w:tr>
          </w:tbl>
          <w:p/>
          <w:p>
            <w:pPr>
              <w:adjustRightInd w:val="0"/>
              <w:snapToGrid w:val="0"/>
              <w:spacing w:line="360" w:lineRule="auto"/>
              <w:outlineLvl w:val="0"/>
              <w:rPr>
                <w:b/>
                <w:sz w:val="28"/>
              </w:rPr>
            </w:pPr>
          </w:p>
          <w:p>
            <w:pPr>
              <w:adjustRightInd w:val="0"/>
              <w:snapToGrid w:val="0"/>
              <w:spacing w:line="360" w:lineRule="auto"/>
              <w:outlineLvl w:val="0"/>
              <w:rPr>
                <w:b/>
                <w:sz w:val="28"/>
              </w:rPr>
            </w:pPr>
          </w:p>
          <w:p>
            <w:pPr>
              <w:adjustRightInd w:val="0"/>
              <w:snapToGrid w:val="0"/>
              <w:spacing w:line="360" w:lineRule="auto"/>
              <w:outlineLvl w:val="0"/>
              <w:rPr>
                <w:b/>
                <w:sz w:val="28"/>
              </w:rPr>
            </w:pPr>
          </w:p>
          <w:p>
            <w:pPr>
              <w:adjustRightInd w:val="0"/>
              <w:snapToGrid w:val="0"/>
              <w:spacing w:line="360" w:lineRule="auto"/>
              <w:outlineLvl w:val="0"/>
              <w:rPr>
                <w:b/>
                <w:sz w:val="28"/>
              </w:rPr>
            </w:pPr>
          </w:p>
          <w:p>
            <w:pPr>
              <w:adjustRightInd w:val="0"/>
              <w:snapToGrid w:val="0"/>
              <w:spacing w:line="360" w:lineRule="auto"/>
              <w:outlineLvl w:val="0"/>
              <w:rPr>
                <w:b/>
                <w:sz w:val="28"/>
              </w:rPr>
            </w:pPr>
          </w:p>
          <w:p>
            <w:pPr>
              <w:adjustRightInd w:val="0"/>
              <w:snapToGrid w:val="0"/>
              <w:spacing w:line="360" w:lineRule="auto"/>
              <w:outlineLvl w:val="0"/>
              <w:rPr>
                <w:b/>
                <w:sz w:val="28"/>
              </w:rPr>
            </w:pPr>
          </w:p>
          <w:p>
            <w:pPr>
              <w:adjustRightInd w:val="0"/>
              <w:snapToGrid w:val="0"/>
              <w:spacing w:line="360" w:lineRule="auto"/>
              <w:outlineLvl w:val="0"/>
              <w:rPr>
                <w:rFonts w:hint="eastAsia"/>
                <w:b/>
                <w:sz w:val="28"/>
              </w:rPr>
            </w:pPr>
          </w:p>
          <w:p>
            <w:pPr>
              <w:pStyle w:val="2"/>
              <w:rPr>
                <w:rFonts w:hint="eastAsia"/>
              </w:rPr>
            </w:pPr>
          </w:p>
          <w:p>
            <w:pPr>
              <w:adjustRightInd w:val="0"/>
              <w:snapToGrid w:val="0"/>
              <w:spacing w:line="360" w:lineRule="auto"/>
              <w:outlineLvl w:val="0"/>
              <w:rPr>
                <w:b/>
                <w:sz w:val="28"/>
              </w:rPr>
            </w:pPr>
          </w:p>
          <w:p>
            <w:pPr>
              <w:adjustRightInd w:val="0"/>
              <w:snapToGrid w:val="0"/>
              <w:spacing w:line="360" w:lineRule="auto"/>
              <w:outlineLvl w:val="0"/>
              <w:rPr>
                <w:rFonts w:hint="eastAsia"/>
                <w:b/>
                <w:sz w:val="28"/>
              </w:rPr>
            </w:pPr>
          </w:p>
          <w:p>
            <w:pPr>
              <w:adjustRightInd w:val="0"/>
              <w:snapToGrid w:val="0"/>
              <w:spacing w:line="360" w:lineRule="auto"/>
              <w:outlineLvl w:val="0"/>
              <w:rPr>
                <w:b/>
                <w:sz w:val="30"/>
              </w:rPr>
            </w:pPr>
            <w:r>
              <w:rPr>
                <w:rFonts w:hint="eastAsia"/>
                <w:b/>
                <w:sz w:val="28"/>
              </w:rPr>
              <w:t>社会环境简况（社会经济结构、教育、文化、文物保护等）：</w:t>
            </w:r>
          </w:p>
          <w:p>
            <w:pPr>
              <w:spacing w:line="360" w:lineRule="auto"/>
              <w:ind w:firstLine="482" w:firstLineChars="200"/>
              <w:rPr>
                <w:b/>
                <w:sz w:val="24"/>
              </w:rPr>
            </w:pPr>
            <w:r>
              <w:rPr>
                <w:b/>
                <w:sz w:val="24"/>
              </w:rPr>
              <w:t>一、行政管辖</w:t>
            </w:r>
          </w:p>
          <w:p>
            <w:pPr>
              <w:spacing w:line="360" w:lineRule="auto"/>
              <w:ind w:firstLine="480" w:firstLineChars="200"/>
              <w:rPr>
                <w:bCs/>
                <w:sz w:val="24"/>
              </w:rPr>
            </w:pPr>
            <w:r>
              <w:rPr>
                <w:bCs/>
                <w:sz w:val="24"/>
              </w:rPr>
              <w:t>本项目属于白云区管辖范围。白云区位于广州市老城区的北面，东邻增城、萝岗，西界南海，北接花都、从化，南连黄埔、天河、越秀、荔湾等 4 区，面积795.79平方公里，辖内有三元里街道、松洲街道、景泰街道、黄石街道、同德街道、棠景街道、新市街道、同和街道、京溪街道、永平街道、均禾街道、嘉禾街道、金沙街道、石井街道、云城街道、白云湖街道、石门街道、鹤龙街道和江高镇、人和镇、太和镇、钟落潭镇等18条行政街道、4个中心镇，设居民委员会245个，村民委员会118个。</w:t>
            </w:r>
          </w:p>
          <w:p>
            <w:pPr>
              <w:spacing w:line="460" w:lineRule="exact"/>
              <w:ind w:firstLine="482" w:firstLineChars="200"/>
              <w:rPr>
                <w:b/>
                <w:bCs/>
                <w:sz w:val="24"/>
              </w:rPr>
            </w:pPr>
            <w:r>
              <w:rPr>
                <w:rFonts w:hAnsi="宋体"/>
                <w:b/>
                <w:bCs/>
                <w:sz w:val="24"/>
              </w:rPr>
              <w:t>二、人口分布</w:t>
            </w:r>
          </w:p>
          <w:p>
            <w:pPr>
              <w:spacing w:line="460" w:lineRule="exact"/>
              <w:ind w:firstLine="480" w:firstLineChars="200"/>
              <w:rPr>
                <w:sz w:val="24"/>
              </w:rPr>
            </w:pPr>
            <w:r>
              <w:rPr>
                <w:rFonts w:hint="eastAsia"/>
                <w:sz w:val="24"/>
              </w:rPr>
              <w:t>2017年末，全区户籍人口98.92万人，其中，男性人口49.25万人，女性人口49.67万人。</w:t>
            </w:r>
          </w:p>
          <w:p>
            <w:pPr>
              <w:spacing w:line="460" w:lineRule="exact"/>
              <w:ind w:firstLine="480" w:firstLineChars="200"/>
              <w:rPr>
                <w:b/>
                <w:bCs/>
                <w:sz w:val="24"/>
              </w:rPr>
            </w:pPr>
            <w:r>
              <w:rPr>
                <w:rFonts w:hint="eastAsia"/>
                <w:sz w:val="24"/>
              </w:rPr>
              <w:t>三、</w:t>
            </w:r>
            <w:r>
              <w:rPr>
                <w:rFonts w:hAnsi="宋体"/>
                <w:b/>
                <w:bCs/>
                <w:sz w:val="24"/>
              </w:rPr>
              <w:t>经济概况</w:t>
            </w:r>
          </w:p>
          <w:p>
            <w:pPr>
              <w:spacing w:line="460" w:lineRule="exact"/>
              <w:ind w:firstLine="480" w:firstLineChars="200"/>
              <w:rPr>
                <w:sz w:val="24"/>
              </w:rPr>
            </w:pPr>
            <w:r>
              <w:rPr>
                <w:rFonts w:hint="eastAsia"/>
                <w:sz w:val="24"/>
              </w:rPr>
              <w:t>经济运行总体平稳。初步核算，2017年，白云区生产总值1782.94亿元，同比增长5.7%。其中，第一产业增加值33.11亿元，同比下降4.4%；第二产业增加值327.83亿元，增长5.7%；第三产业增加值1422亿元，增长5.9%。（2017年GDP总量为包含R&amp;D口径。）。</w:t>
            </w:r>
          </w:p>
          <w:p>
            <w:pPr>
              <w:spacing w:line="460" w:lineRule="exact"/>
              <w:ind w:firstLine="480" w:firstLineChars="200"/>
              <w:rPr>
                <w:sz w:val="24"/>
              </w:rPr>
            </w:pPr>
            <w:r>
              <w:rPr>
                <w:rFonts w:hint="eastAsia"/>
                <w:sz w:val="24"/>
              </w:rPr>
              <w:t>财税收入增势稳健。2017年，全区完成地方一般公共预算收入56.02亿元，按可比口径增长9.3%（同比增长1.1%）。其中，税收收入39.43亿元，按可比口径增长9.8%；非税收入16.59亿元，增长8.2%。</w:t>
            </w:r>
          </w:p>
          <w:p>
            <w:pPr>
              <w:spacing w:line="460" w:lineRule="exact"/>
              <w:ind w:firstLine="482" w:firstLineChars="200"/>
              <w:rPr>
                <w:sz w:val="24"/>
              </w:rPr>
            </w:pPr>
            <w:r>
              <w:rPr>
                <w:rFonts w:hAnsi="宋体"/>
                <w:b/>
                <w:bCs/>
                <w:sz w:val="24"/>
              </w:rPr>
              <w:t>四、教育</w:t>
            </w:r>
          </w:p>
          <w:p>
            <w:pPr>
              <w:spacing w:line="460" w:lineRule="exact"/>
              <w:ind w:firstLine="480" w:firstLineChars="200"/>
              <w:rPr>
                <w:sz w:val="24"/>
              </w:rPr>
            </w:pPr>
            <w:r>
              <w:rPr>
                <w:rFonts w:hint="eastAsia"/>
                <w:sz w:val="24"/>
              </w:rPr>
              <w:t>教育事业均衡优质发展。2017年末，全区共有各类学校593所，比上年增加5所。其中，普通中学70所，比上年增加1所；职业中学3所；小学181所；幼儿园316所，比上年增加5所；特殊教育学校4所，比上年减少1所；职业技术培训机构19所。</w:t>
            </w:r>
          </w:p>
          <w:p>
            <w:pPr>
              <w:spacing w:line="460" w:lineRule="exact"/>
              <w:ind w:firstLine="480" w:firstLineChars="200"/>
              <w:rPr>
                <w:sz w:val="24"/>
              </w:rPr>
            </w:pPr>
            <w:r>
              <w:rPr>
                <w:rFonts w:hint="eastAsia"/>
                <w:sz w:val="24"/>
              </w:rPr>
              <w:t>全年全区实际招生9.66万人，同比增长2.7%；在校学生32.16万人，增长2.8%；毕业生8.12万人，增长1.8%。其中，普通中学实际招生2.13万人，在校学生6.11万人，毕业生1.88万人；职业中学实际招生0.11万人，在校学生0.33万人，毕业生0.09万人；小学实际招生2.93万人，在校学生15.5万人，毕业生2.26万人；幼儿园实际招生3.4万人，在校学生9.1万人，毕业生3.16万人。九年义务教育巩固率为100%，高中阶段毛入学率为100%。</w:t>
            </w:r>
          </w:p>
          <w:p>
            <w:pPr>
              <w:spacing w:line="460" w:lineRule="exact"/>
              <w:ind w:firstLine="480" w:firstLineChars="200"/>
              <w:rPr>
                <w:sz w:val="24"/>
              </w:rPr>
            </w:pPr>
            <w:r>
              <w:rPr>
                <w:rFonts w:hint="eastAsia"/>
                <w:sz w:val="24"/>
              </w:rPr>
              <w:t>年末全区教职工2.85万人，同比增长4.4%，其中，专任教师1.99万人，增长4%。</w:t>
            </w:r>
          </w:p>
          <w:p>
            <w:pPr>
              <w:spacing w:line="460" w:lineRule="exact"/>
              <w:ind w:firstLine="482" w:firstLineChars="200"/>
              <w:rPr>
                <w:b/>
                <w:bCs/>
                <w:sz w:val="24"/>
              </w:rPr>
            </w:pPr>
            <w:r>
              <w:rPr>
                <w:rFonts w:hAnsi="宋体"/>
                <w:b/>
                <w:bCs/>
                <w:sz w:val="24"/>
              </w:rPr>
              <w:t>五、文化体育</w:t>
            </w:r>
          </w:p>
          <w:p>
            <w:pPr>
              <w:spacing w:line="460" w:lineRule="exact"/>
              <w:ind w:firstLine="480" w:firstLineChars="200"/>
              <w:rPr>
                <w:rFonts w:hAnsi="宋体"/>
                <w:sz w:val="24"/>
              </w:rPr>
            </w:pPr>
            <w:r>
              <w:rPr>
                <w:rFonts w:hint="eastAsia" w:hAnsi="宋体"/>
                <w:sz w:val="24"/>
              </w:rPr>
              <w:t>文化事业：2017年末，全区共有1个国家级重点文物保护单位，4个省级文物保护单位，51个市级文物保护单位，505个区级文物保护单位。现有区级文化馆1间，街镇文化站22个，文化广场426个。全年区内组织各类文艺活动802场次，送书下乡1万册，送电影下乡达到1556场次。现有图书馆24间，比上年增加1间，总藏书量达到54.84万册，比上年增加8.35万册；街镇图书室368个，总藏书量达32.5万册。现有区级档案馆1间，收藏全宗档案132件，均可用计算机检索，共收藏档案13.85万卷。全区有线广播电视用户20万户，电视综合人口覆盖率为100%。</w:t>
            </w:r>
          </w:p>
          <w:p>
            <w:pPr>
              <w:spacing w:line="460" w:lineRule="exact"/>
              <w:ind w:firstLine="480" w:firstLineChars="200"/>
              <w:rPr>
                <w:rFonts w:hAnsi="宋体"/>
                <w:sz w:val="24"/>
              </w:rPr>
            </w:pPr>
            <w:r>
              <w:rPr>
                <w:rFonts w:hint="eastAsia" w:hAnsi="宋体"/>
                <w:sz w:val="24"/>
              </w:rPr>
              <w:t>体育事业：2017年，全区共建设健身路径148条、足球场3个、水泥篮球场33片，下拨乒乓球台230张。全区体育设施覆盖率高达100%。全年组织参加省、市级体育活动18次。举办各级各类全民健身活动134次，有28万人次参加，其中，区组织体育活动30次，各街镇组织体育活动104次。举办青少年竞技体育比赛5次，输送体育人才16人。全年白云区籍运动员参加市级以上竞赛获得第一名73人次，其中世界级2人次，第二名61人次，第三名64人次。</w:t>
            </w:r>
          </w:p>
          <w:p>
            <w:pPr>
              <w:spacing w:line="460" w:lineRule="exact"/>
              <w:ind w:firstLine="480" w:firstLineChars="200"/>
              <w:rPr>
                <w:sz w:val="24"/>
              </w:rPr>
            </w:pPr>
            <w:r>
              <w:rPr>
                <w:rFonts w:hint="eastAsia" w:hAnsi="宋体"/>
                <w:sz w:val="24"/>
              </w:rPr>
              <w:t>医疗建设：2017年末，全区卫生医疗机构570个，医疗病床位数18168张，工作人员24541人，其中，执业医师6239人，执业助理医师550人，注册护士9158人，药剂人员1057人，检验人员601人。全年门诊诊疗1718.45万人次，入院人数40.19万人，平均每千人口床位数7.06张。</w:t>
            </w:r>
          </w:p>
          <w:p>
            <w:pPr>
              <w:adjustRightInd w:val="0"/>
              <w:snapToGrid w:val="0"/>
              <w:spacing w:line="460" w:lineRule="exact"/>
              <w:ind w:firstLine="482" w:firstLineChars="200"/>
              <w:rPr>
                <w:rFonts w:ascii="宋体" w:hAnsi="宋体"/>
                <w:b/>
                <w:sz w:val="24"/>
              </w:rPr>
            </w:pPr>
            <w:r>
              <w:rPr>
                <w:rFonts w:ascii="宋体" w:hAnsi="宋体"/>
                <w:b/>
                <w:sz w:val="24"/>
              </w:rPr>
              <w:t>六、环境保护</w:t>
            </w:r>
          </w:p>
          <w:p>
            <w:pPr>
              <w:spacing w:line="460" w:lineRule="exact"/>
              <w:ind w:firstLine="480" w:firstLineChars="200"/>
              <w:rPr>
                <w:sz w:val="24"/>
              </w:rPr>
            </w:pPr>
            <w:r>
              <w:rPr>
                <w:rFonts w:hint="eastAsia"/>
                <w:sz w:val="24"/>
              </w:rPr>
              <w:t>环境质量进一步改善。2017年，白云区空气质量达标天数为310天，达标比例达84.9%，其中，环境空气质量属优102天、良208天、轻度污染45天、中度污染9天、重度污染1天，未出现严重污染。超标污染物为二氧化氮。空气主要污染物二氧化硫、二氧化氮、可吸入颗粒物PM</w:t>
            </w:r>
            <w:r>
              <w:rPr>
                <w:rFonts w:hint="eastAsia"/>
                <w:sz w:val="24"/>
                <w:vertAlign w:val="subscript"/>
              </w:rPr>
              <w:t>10</w:t>
            </w:r>
            <w:r>
              <w:rPr>
                <w:rFonts w:hint="eastAsia"/>
                <w:sz w:val="24"/>
              </w:rPr>
              <w:t>和细颗粒物PM</w:t>
            </w:r>
            <w:r>
              <w:rPr>
                <w:rFonts w:hint="eastAsia"/>
                <w:sz w:val="24"/>
                <w:vertAlign w:val="subscript"/>
              </w:rPr>
              <w:t>2.5</w:t>
            </w:r>
            <w:r>
              <w:rPr>
                <w:rFonts w:hint="eastAsia"/>
                <w:sz w:val="24"/>
              </w:rPr>
              <w:t>的年平均浓度分别为10微克/立方米、49微克/立方米、59微克/立方米、35微克/立方米，臭氧日最大8小时均值第90百分位数浓度为152微克/立方米，一氧化碳日均值第95百分位数浓度为1.4毫克/立方米。二氧化硫、可吸入颗粒物PM</w:t>
            </w:r>
            <w:r>
              <w:rPr>
                <w:rFonts w:hint="eastAsia"/>
                <w:sz w:val="24"/>
                <w:vertAlign w:val="subscript"/>
              </w:rPr>
              <w:t>10</w:t>
            </w:r>
            <w:r>
              <w:rPr>
                <w:rFonts w:hint="eastAsia"/>
                <w:sz w:val="24"/>
              </w:rPr>
              <w:t>和细颗粒物PM</w:t>
            </w:r>
            <w:r>
              <w:rPr>
                <w:rFonts w:hint="eastAsia"/>
                <w:sz w:val="24"/>
                <w:vertAlign w:val="subscript"/>
              </w:rPr>
              <w:t>2.5</w:t>
            </w:r>
            <w:r>
              <w:rPr>
                <w:rFonts w:hint="eastAsia"/>
                <w:sz w:val="24"/>
              </w:rPr>
              <w:t>达到《环境空气质量标准》（GB3095-2012）二级标准，二氧化氮未能达到《环境空气质量标准》（GB3095-2012）二级标准，一氧化碳和臭氧百分位数浓度均达标。降尘量年平均值为3.2吨/（平方千米·30d），达到广州地区暂行标准；硫酸盐化速率年平均值为0.122毫克SO</w:t>
            </w:r>
            <w:r>
              <w:rPr>
                <w:rFonts w:hint="eastAsia"/>
                <w:sz w:val="24"/>
                <w:vertAlign w:val="subscript"/>
              </w:rPr>
              <w:t>3</w:t>
            </w:r>
            <w:r>
              <w:rPr>
                <w:rFonts w:hint="eastAsia"/>
                <w:sz w:val="24"/>
              </w:rPr>
              <w:t>/（100平方厘米·碱片·日），达到国家暂行标准。</w:t>
            </w:r>
          </w:p>
          <w:p>
            <w:pPr>
              <w:spacing w:line="460" w:lineRule="exact"/>
              <w:ind w:firstLine="480" w:firstLineChars="200"/>
              <w:rPr>
                <w:sz w:val="24"/>
              </w:rPr>
            </w:pPr>
            <w:r>
              <w:rPr>
                <w:rFonts w:hint="eastAsia"/>
                <w:sz w:val="24"/>
              </w:rPr>
              <w:t>全区区域环境噪声平均值57.9分贝，达二类区标准，交通干线噪声平均值69.7分贝。</w:t>
            </w:r>
          </w:p>
          <w:p>
            <w:pPr>
              <w:spacing w:line="460" w:lineRule="exact"/>
              <w:ind w:firstLine="480" w:firstLineChars="200"/>
              <w:rPr>
                <w:sz w:val="24"/>
              </w:rPr>
            </w:pPr>
            <w:r>
              <w:rPr>
                <w:rFonts w:hint="eastAsia"/>
                <w:sz w:val="24"/>
              </w:rPr>
              <w:t>乡镇饮用水源水质达标率为44.1%，比上年提高23个百分点。</w:t>
            </w:r>
          </w:p>
          <w:p>
            <w:pPr>
              <w:adjustRightInd w:val="0"/>
              <w:snapToGrid w:val="0"/>
              <w:spacing w:line="460" w:lineRule="exact"/>
              <w:ind w:firstLine="482" w:firstLineChars="200"/>
              <w:rPr>
                <w:rFonts w:ascii="宋体" w:hAnsi="宋体"/>
                <w:b/>
                <w:sz w:val="24"/>
              </w:rPr>
            </w:pPr>
            <w:r>
              <w:rPr>
                <w:rFonts w:ascii="宋体" w:hAnsi="宋体"/>
                <w:b/>
                <w:sz w:val="24"/>
              </w:rPr>
              <w:t>七、社会保障</w:t>
            </w:r>
          </w:p>
          <w:p>
            <w:pPr>
              <w:spacing w:line="460" w:lineRule="exact"/>
              <w:ind w:firstLine="480" w:firstLineChars="200"/>
              <w:rPr>
                <w:sz w:val="24"/>
              </w:rPr>
            </w:pPr>
            <w:r>
              <w:rPr>
                <w:rFonts w:hint="eastAsia"/>
                <w:sz w:val="24"/>
              </w:rPr>
              <w:t>社会保障扩覆提质。2017年，全区城镇居民基本医疗保险参保人数74.83万人，新型农村社会养老保险参保人数13.88万人。各类社会保险参保人数234.69万人，参加养老保险、失业保险、工伤保险、生育保险、医疗保险分别有516.69万人次、529.47万人次、500.94万人次、480.53万人次和570.44万人次，五大险种征缴金额共计68.41亿元。</w:t>
            </w:r>
          </w:p>
          <w:p>
            <w:pPr>
              <w:spacing w:line="460" w:lineRule="exact"/>
              <w:ind w:firstLine="480" w:firstLineChars="200"/>
              <w:rPr>
                <w:b/>
                <w:sz w:val="24"/>
              </w:rPr>
            </w:pPr>
            <w:r>
              <w:rPr>
                <w:rFonts w:hint="eastAsia"/>
                <w:sz w:val="24"/>
              </w:rPr>
              <w:t>全区享受城市居民最低生活保障人数1677人，享受农村居民最低生活保障人数1958人。不断提高低保救助标准，低保标准提升至每人每年10800元。</w:t>
            </w:r>
          </w:p>
          <w:p>
            <w:pPr>
              <w:adjustRightInd w:val="0"/>
              <w:snapToGrid w:val="0"/>
              <w:spacing w:line="460" w:lineRule="exact"/>
              <w:ind w:firstLine="482" w:firstLineChars="200"/>
              <w:rPr>
                <w:rFonts w:ascii="宋体" w:hAnsi="宋体"/>
                <w:b/>
                <w:sz w:val="24"/>
              </w:rPr>
            </w:pPr>
          </w:p>
          <w:p>
            <w:pPr>
              <w:pStyle w:val="2"/>
              <w:outlineLvl w:val="0"/>
              <w:rPr>
                <w:rFonts w:ascii="宋体" w:hAnsi="宋体"/>
                <w:sz w:val="24"/>
              </w:rPr>
            </w:pPr>
          </w:p>
          <w:p>
            <w:pPr>
              <w:rPr>
                <w:rFonts w:ascii="宋体" w:hAnsi="宋体"/>
                <w:b/>
                <w:sz w:val="24"/>
              </w:rPr>
            </w:pPr>
          </w:p>
          <w:p>
            <w:pPr>
              <w:pStyle w:val="2"/>
              <w:outlineLvl w:val="0"/>
              <w:rPr>
                <w:rFonts w:ascii="宋体" w:hAnsi="宋体"/>
                <w:sz w:val="24"/>
              </w:rPr>
            </w:pPr>
          </w:p>
          <w:p/>
          <w:p>
            <w:pPr>
              <w:adjustRightInd w:val="0"/>
              <w:snapToGrid w:val="0"/>
              <w:spacing w:line="460" w:lineRule="exact"/>
              <w:ind w:firstLine="482" w:firstLineChars="200"/>
              <w:rPr>
                <w:rFonts w:ascii="宋体" w:hAnsi="宋体"/>
                <w:b/>
                <w:sz w:val="24"/>
              </w:rPr>
            </w:pPr>
          </w:p>
          <w:p>
            <w:pPr>
              <w:adjustRightInd w:val="0"/>
              <w:snapToGrid w:val="0"/>
              <w:spacing w:line="460" w:lineRule="exact"/>
              <w:ind w:firstLine="482" w:firstLineChars="200"/>
              <w:rPr>
                <w:rFonts w:ascii="宋体" w:hAnsi="宋体"/>
                <w:b/>
                <w:sz w:val="24"/>
              </w:rPr>
            </w:pPr>
          </w:p>
          <w:p>
            <w:pPr>
              <w:adjustRightInd w:val="0"/>
              <w:snapToGrid w:val="0"/>
              <w:spacing w:line="460" w:lineRule="exact"/>
              <w:ind w:firstLine="482" w:firstLineChars="200"/>
              <w:rPr>
                <w:rFonts w:ascii="宋体" w:hAnsi="宋体"/>
                <w:b/>
                <w:sz w:val="24"/>
              </w:rPr>
            </w:pPr>
          </w:p>
          <w:p>
            <w:r>
              <w:rPr>
                <w:sz w:val="24"/>
              </w:rPr>
              <w:t> </w:t>
            </w:r>
            <w:r>
              <w:rPr>
                <w:sz w:val="24"/>
              </w:rPr>
              <w:br w:type="page"/>
            </w:r>
            <w:r>
              <w:rPr>
                <w:sz w:val="30"/>
              </w:rPr>
              <w:br w:type="page"/>
            </w:r>
          </w:p>
        </w:tc>
      </w:tr>
    </w:tbl>
    <w:p>
      <w:pPr>
        <w:sectPr>
          <w:pgSz w:w="11906" w:h="16838"/>
          <w:pgMar w:top="1440" w:right="1800" w:bottom="1440" w:left="1800" w:header="851" w:footer="992" w:gutter="0"/>
          <w:pgNumType w:fmt="decimal"/>
          <w:cols w:space="425" w:num="1"/>
          <w:docGrid w:type="lines" w:linePitch="312" w:charSpace="0"/>
        </w:sectPr>
      </w:pPr>
    </w:p>
    <w:p>
      <w:pPr>
        <w:tabs>
          <w:tab w:val="left" w:pos="0"/>
        </w:tabs>
        <w:snapToGrid w:val="0"/>
      </w:pPr>
      <w:r>
        <w:rPr>
          <w:rFonts w:hint="eastAsia"/>
          <w:b/>
          <w:sz w:val="28"/>
        </w:rPr>
        <w:t>环境质量状况</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tcPr>
          <w:p>
            <w:pPr>
              <w:adjustRightInd w:val="0"/>
              <w:spacing w:line="360" w:lineRule="auto"/>
              <w:rPr>
                <w:b/>
                <w:bCs/>
                <w:sz w:val="28"/>
                <w:szCs w:val="28"/>
              </w:rPr>
            </w:pPr>
            <w:r>
              <w:rPr>
                <w:rFonts w:hint="eastAsia"/>
                <w:b/>
                <w:bCs/>
                <w:sz w:val="28"/>
                <w:szCs w:val="28"/>
              </w:rPr>
              <w:t>建设项目所在地区域环境质量现状及主要环境问题（环境空气、地面水、地下水、声环境、生态环境等）：</w:t>
            </w:r>
          </w:p>
          <w:p>
            <w:pPr>
              <w:tabs>
                <w:tab w:val="left" w:pos="0"/>
              </w:tabs>
              <w:snapToGrid w:val="0"/>
              <w:spacing w:line="360" w:lineRule="auto"/>
              <w:ind w:firstLine="482" w:firstLineChars="200"/>
              <w:rPr>
                <w:b/>
                <w:bCs/>
                <w:sz w:val="24"/>
              </w:rPr>
            </w:pPr>
            <w:r>
              <w:rPr>
                <w:rFonts w:hint="eastAsia"/>
                <w:b/>
                <w:bCs/>
                <w:sz w:val="24"/>
              </w:rPr>
              <w:t>一、环境空气质量现状</w:t>
            </w:r>
          </w:p>
          <w:p>
            <w:pPr>
              <w:adjustRightInd w:val="0"/>
              <w:snapToGrid w:val="0"/>
              <w:spacing w:line="360" w:lineRule="auto"/>
              <w:ind w:firstLine="480" w:firstLineChars="200"/>
              <w:rPr>
                <w:rFonts w:hint="eastAsia"/>
                <w:kern w:val="0"/>
                <w:sz w:val="24"/>
              </w:rPr>
            </w:pPr>
            <w:r>
              <w:rPr>
                <w:rFonts w:hint="eastAsia"/>
                <w:kern w:val="0"/>
                <w:sz w:val="24"/>
              </w:rPr>
              <w:t>根据《广州市人民政府关于印发广州市环境空气功能区区划（修订）的通知》（穗府〔2013〕17号文），本项目大气环境质量评价区域属二类区，环境空气质量执行《环境空气质量标准》（GB3095-2012）二级标准。</w:t>
            </w:r>
          </w:p>
          <w:p>
            <w:pPr>
              <w:adjustRightInd w:val="0"/>
              <w:snapToGrid w:val="0"/>
              <w:spacing w:line="360" w:lineRule="auto"/>
              <w:ind w:firstLine="480" w:firstLineChars="200"/>
              <w:rPr>
                <w:rFonts w:hint="eastAsia"/>
                <w:kern w:val="0"/>
                <w:sz w:val="24"/>
              </w:rPr>
            </w:pPr>
            <w:r>
              <w:rPr>
                <w:rFonts w:hint="eastAsia"/>
                <w:kern w:val="0"/>
                <w:sz w:val="24"/>
              </w:rPr>
              <w:t>根据广州市生态环境局发布的《201</w:t>
            </w:r>
            <w:r>
              <w:rPr>
                <w:kern w:val="0"/>
                <w:sz w:val="24"/>
              </w:rPr>
              <w:t>8</w:t>
            </w:r>
            <w:r>
              <w:rPr>
                <w:rFonts w:hint="eastAsia"/>
                <w:kern w:val="0"/>
                <w:sz w:val="24"/>
              </w:rPr>
              <w:t>年广州市环境质量状况公报》，白云区 201</w:t>
            </w:r>
            <w:r>
              <w:rPr>
                <w:kern w:val="0"/>
                <w:sz w:val="24"/>
              </w:rPr>
              <w:t>8</w:t>
            </w:r>
            <w:r>
              <w:rPr>
                <w:rFonts w:hint="eastAsia"/>
                <w:kern w:val="0"/>
                <w:sz w:val="24"/>
              </w:rPr>
              <w:t xml:space="preserve"> 年环境空气现状监测结果见表</w:t>
            </w:r>
            <w:r>
              <w:rPr>
                <w:rFonts w:hint="eastAsia"/>
                <w:kern w:val="0"/>
                <w:sz w:val="24"/>
                <w:lang w:val="en-US" w:eastAsia="zh-CN"/>
              </w:rPr>
              <w:t>3-1</w:t>
            </w:r>
            <w:r>
              <w:rPr>
                <w:rFonts w:hint="eastAsia"/>
                <w:kern w:val="0"/>
                <w:sz w:val="24"/>
              </w:rPr>
              <w:t>。</w:t>
            </w:r>
          </w:p>
          <w:p>
            <w:pPr>
              <w:adjustRightInd w:val="0"/>
              <w:snapToGrid w:val="0"/>
              <w:spacing w:line="240" w:lineRule="auto"/>
              <w:ind w:firstLine="422"/>
              <w:jc w:val="center"/>
              <w:rPr>
                <w:b/>
                <w:color w:val="auto"/>
                <w:sz w:val="21"/>
                <w:szCs w:val="21"/>
              </w:rPr>
            </w:pPr>
            <w:r>
              <w:rPr>
                <w:rFonts w:hint="eastAsia"/>
                <w:b/>
                <w:color w:val="auto"/>
                <w:sz w:val="21"/>
                <w:szCs w:val="21"/>
              </w:rPr>
              <w:t>表</w:t>
            </w:r>
            <w:r>
              <w:rPr>
                <w:rFonts w:hint="eastAsia"/>
                <w:b/>
                <w:color w:val="auto"/>
                <w:sz w:val="21"/>
                <w:szCs w:val="21"/>
                <w:lang w:val="en-US" w:eastAsia="zh-CN"/>
              </w:rPr>
              <w:t>3-1</w:t>
            </w:r>
            <w:r>
              <w:rPr>
                <w:rFonts w:hint="eastAsia"/>
                <w:b/>
                <w:color w:val="auto"/>
                <w:sz w:val="21"/>
                <w:szCs w:val="21"/>
              </w:rPr>
              <w:t xml:space="preserve">  环境空气质量统计结果</w:t>
            </w:r>
          </w:p>
          <w:tbl>
            <w:tblPr>
              <w:tblStyle w:val="15"/>
              <w:tblW w:w="899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09"/>
              <w:gridCol w:w="1064"/>
              <w:gridCol w:w="1064"/>
              <w:gridCol w:w="1065"/>
              <w:gridCol w:w="1064"/>
              <w:gridCol w:w="1064"/>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609" w:type="dxa"/>
                  <w:noWrap w:val="0"/>
                  <w:vAlign w:val="center"/>
                </w:tcPr>
                <w:p>
                  <w:pPr>
                    <w:tabs>
                      <w:tab w:val="left" w:pos="6300"/>
                    </w:tabs>
                    <w:adjustRightInd w:val="0"/>
                    <w:snapToGrid w:val="0"/>
                    <w:spacing w:line="240" w:lineRule="auto"/>
                    <w:jc w:val="center"/>
                    <w:rPr>
                      <w:b/>
                      <w:bCs/>
                      <w:color w:val="auto"/>
                      <w:sz w:val="21"/>
                      <w:szCs w:val="21"/>
                    </w:rPr>
                  </w:pPr>
                  <w:r>
                    <w:rPr>
                      <w:b/>
                      <w:bCs/>
                      <w:color w:val="auto"/>
                      <w:sz w:val="21"/>
                      <w:szCs w:val="21"/>
                    </w:rPr>
                    <w:t>项目</w:t>
                  </w:r>
                </w:p>
              </w:tc>
              <w:tc>
                <w:tcPr>
                  <w:tcW w:w="1064" w:type="dxa"/>
                  <w:noWrap w:val="0"/>
                  <w:vAlign w:val="center"/>
                </w:tcPr>
                <w:p>
                  <w:pPr>
                    <w:tabs>
                      <w:tab w:val="left" w:pos="6300"/>
                    </w:tabs>
                    <w:adjustRightInd w:val="0"/>
                    <w:snapToGrid w:val="0"/>
                    <w:spacing w:line="240" w:lineRule="auto"/>
                    <w:jc w:val="center"/>
                    <w:rPr>
                      <w:b/>
                      <w:bCs/>
                      <w:color w:val="auto"/>
                      <w:sz w:val="21"/>
                      <w:szCs w:val="21"/>
                    </w:rPr>
                  </w:pPr>
                  <w:r>
                    <w:rPr>
                      <w:b/>
                      <w:bCs/>
                      <w:color w:val="auto"/>
                      <w:sz w:val="21"/>
                      <w:szCs w:val="21"/>
                    </w:rPr>
                    <w:t>SO</w:t>
                  </w:r>
                  <w:r>
                    <w:rPr>
                      <w:b/>
                      <w:bCs/>
                      <w:color w:val="auto"/>
                      <w:sz w:val="21"/>
                      <w:szCs w:val="21"/>
                      <w:vertAlign w:val="subscript"/>
                    </w:rPr>
                    <w:t>2</w:t>
                  </w:r>
                </w:p>
              </w:tc>
              <w:tc>
                <w:tcPr>
                  <w:tcW w:w="1064" w:type="dxa"/>
                  <w:noWrap w:val="0"/>
                  <w:vAlign w:val="center"/>
                </w:tcPr>
                <w:p>
                  <w:pPr>
                    <w:tabs>
                      <w:tab w:val="left" w:pos="6300"/>
                    </w:tabs>
                    <w:adjustRightInd w:val="0"/>
                    <w:snapToGrid w:val="0"/>
                    <w:spacing w:line="240" w:lineRule="auto"/>
                    <w:jc w:val="center"/>
                    <w:rPr>
                      <w:b/>
                      <w:bCs/>
                      <w:color w:val="auto"/>
                      <w:sz w:val="21"/>
                      <w:szCs w:val="21"/>
                    </w:rPr>
                  </w:pPr>
                  <w:r>
                    <w:rPr>
                      <w:b/>
                      <w:bCs/>
                      <w:color w:val="auto"/>
                      <w:sz w:val="21"/>
                      <w:szCs w:val="21"/>
                    </w:rPr>
                    <w:t>NO</w:t>
                  </w:r>
                  <w:r>
                    <w:rPr>
                      <w:b/>
                      <w:bCs/>
                      <w:color w:val="auto"/>
                      <w:sz w:val="21"/>
                      <w:szCs w:val="21"/>
                      <w:vertAlign w:val="subscript"/>
                    </w:rPr>
                    <w:t>2</w:t>
                  </w:r>
                </w:p>
              </w:tc>
              <w:tc>
                <w:tcPr>
                  <w:tcW w:w="1065" w:type="dxa"/>
                  <w:noWrap w:val="0"/>
                  <w:vAlign w:val="center"/>
                </w:tcPr>
                <w:p>
                  <w:pPr>
                    <w:tabs>
                      <w:tab w:val="left" w:pos="6300"/>
                    </w:tabs>
                    <w:adjustRightInd w:val="0"/>
                    <w:snapToGrid w:val="0"/>
                    <w:spacing w:line="240" w:lineRule="auto"/>
                    <w:jc w:val="center"/>
                    <w:rPr>
                      <w:b/>
                      <w:bCs/>
                      <w:color w:val="auto"/>
                      <w:sz w:val="21"/>
                      <w:szCs w:val="21"/>
                    </w:rPr>
                  </w:pPr>
                  <w:r>
                    <w:rPr>
                      <w:b/>
                      <w:bCs/>
                      <w:color w:val="auto"/>
                      <w:sz w:val="21"/>
                      <w:szCs w:val="21"/>
                    </w:rPr>
                    <w:t>PM</w:t>
                  </w:r>
                  <w:r>
                    <w:rPr>
                      <w:b/>
                      <w:bCs/>
                      <w:color w:val="auto"/>
                      <w:sz w:val="21"/>
                      <w:szCs w:val="21"/>
                      <w:vertAlign w:val="subscript"/>
                    </w:rPr>
                    <w:t>10</w:t>
                  </w:r>
                </w:p>
              </w:tc>
              <w:tc>
                <w:tcPr>
                  <w:tcW w:w="1064" w:type="dxa"/>
                  <w:noWrap w:val="0"/>
                  <w:vAlign w:val="center"/>
                </w:tcPr>
                <w:p>
                  <w:pPr>
                    <w:tabs>
                      <w:tab w:val="left" w:pos="6300"/>
                    </w:tabs>
                    <w:adjustRightInd w:val="0"/>
                    <w:snapToGrid w:val="0"/>
                    <w:spacing w:line="240" w:lineRule="auto"/>
                    <w:jc w:val="center"/>
                    <w:rPr>
                      <w:b/>
                      <w:bCs/>
                      <w:color w:val="auto"/>
                      <w:sz w:val="21"/>
                      <w:szCs w:val="21"/>
                    </w:rPr>
                  </w:pPr>
                  <w:r>
                    <w:rPr>
                      <w:b/>
                      <w:bCs/>
                      <w:color w:val="auto"/>
                      <w:sz w:val="21"/>
                      <w:szCs w:val="21"/>
                    </w:rPr>
                    <w:t>PM</w:t>
                  </w:r>
                  <w:r>
                    <w:rPr>
                      <w:b/>
                      <w:bCs/>
                      <w:color w:val="auto"/>
                      <w:sz w:val="21"/>
                      <w:szCs w:val="21"/>
                      <w:vertAlign w:val="subscript"/>
                    </w:rPr>
                    <w:t>2.5</w:t>
                  </w:r>
                </w:p>
              </w:tc>
              <w:tc>
                <w:tcPr>
                  <w:tcW w:w="1064" w:type="dxa"/>
                  <w:noWrap w:val="0"/>
                  <w:vAlign w:val="center"/>
                </w:tcPr>
                <w:p>
                  <w:pPr>
                    <w:tabs>
                      <w:tab w:val="left" w:pos="6300"/>
                    </w:tabs>
                    <w:adjustRightInd w:val="0"/>
                    <w:snapToGrid w:val="0"/>
                    <w:spacing w:line="240" w:lineRule="auto"/>
                    <w:jc w:val="center"/>
                    <w:rPr>
                      <w:b/>
                      <w:bCs/>
                      <w:color w:val="auto"/>
                      <w:sz w:val="21"/>
                      <w:szCs w:val="21"/>
                    </w:rPr>
                  </w:pPr>
                  <w:r>
                    <w:rPr>
                      <w:b/>
                      <w:bCs/>
                      <w:color w:val="auto"/>
                      <w:sz w:val="21"/>
                      <w:szCs w:val="21"/>
                    </w:rPr>
                    <w:t>CO</w:t>
                  </w:r>
                </w:p>
              </w:tc>
              <w:tc>
                <w:tcPr>
                  <w:tcW w:w="1065" w:type="dxa"/>
                  <w:noWrap w:val="0"/>
                  <w:vAlign w:val="center"/>
                </w:tcPr>
                <w:p>
                  <w:pPr>
                    <w:tabs>
                      <w:tab w:val="left" w:pos="6300"/>
                    </w:tabs>
                    <w:adjustRightInd w:val="0"/>
                    <w:snapToGrid w:val="0"/>
                    <w:spacing w:line="240" w:lineRule="auto"/>
                    <w:jc w:val="center"/>
                    <w:rPr>
                      <w:b/>
                      <w:bCs/>
                      <w:color w:val="auto"/>
                      <w:sz w:val="21"/>
                      <w:szCs w:val="21"/>
                    </w:rPr>
                  </w:pPr>
                  <w:r>
                    <w:rPr>
                      <w:b/>
                      <w:bCs/>
                      <w:color w:val="auto"/>
                      <w:sz w:val="21"/>
                      <w:szCs w:val="21"/>
                    </w:rPr>
                    <w:t>O</w:t>
                  </w:r>
                  <w:r>
                    <w:rPr>
                      <w:b/>
                      <w:bCs/>
                      <w:color w:val="auto"/>
                      <w:sz w:val="21"/>
                      <w:szCs w:val="21"/>
                      <w:vertAlign w:val="sub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609" w:type="dxa"/>
                  <w:shd w:val="clear" w:color="auto" w:fill="auto"/>
                  <w:noWrap w:val="0"/>
                  <w:vAlign w:val="center"/>
                </w:tcPr>
                <w:p>
                  <w:pPr>
                    <w:tabs>
                      <w:tab w:val="left" w:pos="6300"/>
                    </w:tabs>
                    <w:adjustRightInd w:val="0"/>
                    <w:snapToGrid w:val="0"/>
                    <w:spacing w:line="240" w:lineRule="auto"/>
                    <w:jc w:val="center"/>
                    <w:rPr>
                      <w:bCs/>
                      <w:color w:val="auto"/>
                      <w:sz w:val="21"/>
                      <w:szCs w:val="21"/>
                    </w:rPr>
                  </w:pPr>
                  <w:r>
                    <w:rPr>
                      <w:rFonts w:hint="eastAsia"/>
                      <w:bCs/>
                      <w:color w:val="auto"/>
                      <w:sz w:val="21"/>
                      <w:szCs w:val="21"/>
                    </w:rPr>
                    <w:t>年</w:t>
                  </w:r>
                  <w:r>
                    <w:rPr>
                      <w:bCs/>
                      <w:color w:val="auto"/>
                      <w:sz w:val="21"/>
                      <w:szCs w:val="21"/>
                    </w:rPr>
                    <w:t>平均浓度（μg/m</w:t>
                  </w:r>
                  <w:r>
                    <w:rPr>
                      <w:bCs/>
                      <w:color w:val="auto"/>
                      <w:sz w:val="21"/>
                      <w:szCs w:val="21"/>
                      <w:vertAlign w:val="superscript"/>
                    </w:rPr>
                    <w:t>3</w:t>
                  </w:r>
                  <w:r>
                    <w:rPr>
                      <w:bCs/>
                      <w:color w:val="auto"/>
                      <w:sz w:val="21"/>
                      <w:szCs w:val="21"/>
                    </w:rPr>
                    <w:t>）</w:t>
                  </w:r>
                </w:p>
              </w:tc>
              <w:tc>
                <w:tcPr>
                  <w:tcW w:w="1064" w:type="dxa"/>
                  <w:shd w:val="clear" w:color="auto" w:fill="auto"/>
                  <w:noWrap w:val="0"/>
                  <w:vAlign w:val="center"/>
                </w:tcPr>
                <w:p>
                  <w:pPr>
                    <w:tabs>
                      <w:tab w:val="left" w:pos="6300"/>
                    </w:tabs>
                    <w:adjustRightInd w:val="0"/>
                    <w:snapToGrid w:val="0"/>
                    <w:spacing w:line="240" w:lineRule="auto"/>
                    <w:jc w:val="center"/>
                    <w:rPr>
                      <w:rFonts w:hint="eastAsia"/>
                      <w:bCs/>
                      <w:color w:val="auto"/>
                      <w:sz w:val="21"/>
                      <w:szCs w:val="21"/>
                    </w:rPr>
                  </w:pPr>
                  <w:r>
                    <w:rPr>
                      <w:rFonts w:hint="eastAsia"/>
                      <w:bCs/>
                      <w:color w:val="auto"/>
                      <w:sz w:val="21"/>
                      <w:szCs w:val="21"/>
                    </w:rPr>
                    <w:t>9</w:t>
                  </w:r>
                </w:p>
              </w:tc>
              <w:tc>
                <w:tcPr>
                  <w:tcW w:w="1064" w:type="dxa"/>
                  <w:shd w:val="clear" w:color="auto" w:fill="D9D9D9"/>
                  <w:noWrap w:val="0"/>
                  <w:vAlign w:val="center"/>
                </w:tcPr>
                <w:p>
                  <w:pPr>
                    <w:tabs>
                      <w:tab w:val="left" w:pos="6300"/>
                    </w:tabs>
                    <w:adjustRightInd w:val="0"/>
                    <w:snapToGrid w:val="0"/>
                    <w:spacing w:line="240" w:lineRule="auto"/>
                    <w:jc w:val="center"/>
                    <w:rPr>
                      <w:rFonts w:hint="eastAsia"/>
                      <w:bCs/>
                      <w:color w:val="auto"/>
                      <w:sz w:val="21"/>
                      <w:szCs w:val="21"/>
                    </w:rPr>
                  </w:pPr>
                  <w:r>
                    <w:rPr>
                      <w:rFonts w:hint="eastAsia"/>
                      <w:bCs/>
                      <w:color w:val="auto"/>
                      <w:sz w:val="21"/>
                      <w:szCs w:val="21"/>
                    </w:rPr>
                    <w:t>47</w:t>
                  </w:r>
                </w:p>
              </w:tc>
              <w:tc>
                <w:tcPr>
                  <w:tcW w:w="1065" w:type="dxa"/>
                  <w:noWrap w:val="0"/>
                  <w:vAlign w:val="center"/>
                </w:tcPr>
                <w:p>
                  <w:pPr>
                    <w:tabs>
                      <w:tab w:val="left" w:pos="6300"/>
                    </w:tabs>
                    <w:adjustRightInd w:val="0"/>
                    <w:snapToGrid w:val="0"/>
                    <w:spacing w:line="240" w:lineRule="auto"/>
                    <w:jc w:val="center"/>
                    <w:rPr>
                      <w:rFonts w:hint="eastAsia"/>
                      <w:bCs/>
                      <w:color w:val="auto"/>
                      <w:sz w:val="21"/>
                      <w:szCs w:val="21"/>
                    </w:rPr>
                  </w:pPr>
                  <w:r>
                    <w:rPr>
                      <w:rFonts w:hint="eastAsia"/>
                      <w:bCs/>
                      <w:color w:val="auto"/>
                      <w:sz w:val="21"/>
                      <w:szCs w:val="21"/>
                    </w:rPr>
                    <w:t>56</w:t>
                  </w:r>
                </w:p>
              </w:tc>
              <w:tc>
                <w:tcPr>
                  <w:tcW w:w="1064" w:type="dxa"/>
                  <w:noWrap w:val="0"/>
                  <w:vAlign w:val="center"/>
                </w:tcPr>
                <w:p>
                  <w:pPr>
                    <w:tabs>
                      <w:tab w:val="left" w:pos="6300"/>
                    </w:tabs>
                    <w:adjustRightInd w:val="0"/>
                    <w:snapToGrid w:val="0"/>
                    <w:spacing w:line="240" w:lineRule="auto"/>
                    <w:jc w:val="center"/>
                    <w:rPr>
                      <w:rFonts w:hint="eastAsia"/>
                      <w:bCs/>
                      <w:color w:val="auto"/>
                      <w:sz w:val="21"/>
                      <w:szCs w:val="21"/>
                    </w:rPr>
                  </w:pPr>
                  <w:r>
                    <w:rPr>
                      <w:rFonts w:hint="eastAsia"/>
                      <w:bCs/>
                      <w:color w:val="auto"/>
                      <w:sz w:val="21"/>
                      <w:szCs w:val="21"/>
                    </w:rPr>
                    <w:t>33</w:t>
                  </w:r>
                </w:p>
              </w:tc>
              <w:tc>
                <w:tcPr>
                  <w:tcW w:w="1064" w:type="dxa"/>
                  <w:noWrap w:val="0"/>
                  <w:vAlign w:val="center"/>
                </w:tcPr>
                <w:p>
                  <w:pPr>
                    <w:tabs>
                      <w:tab w:val="left" w:pos="6300"/>
                    </w:tabs>
                    <w:adjustRightInd w:val="0"/>
                    <w:snapToGrid w:val="0"/>
                    <w:spacing w:line="240" w:lineRule="auto"/>
                    <w:jc w:val="center"/>
                    <w:rPr>
                      <w:rFonts w:hint="eastAsia"/>
                      <w:bCs/>
                      <w:color w:val="auto"/>
                      <w:sz w:val="21"/>
                      <w:szCs w:val="21"/>
                    </w:rPr>
                  </w:pPr>
                  <w:r>
                    <w:rPr>
                      <w:rFonts w:hint="eastAsia"/>
                      <w:bCs/>
                      <w:color w:val="auto"/>
                      <w:sz w:val="21"/>
                      <w:szCs w:val="21"/>
                    </w:rPr>
                    <w:t>1.2</w:t>
                  </w:r>
                </w:p>
              </w:tc>
              <w:tc>
                <w:tcPr>
                  <w:tcW w:w="1065" w:type="dxa"/>
                  <w:noWrap w:val="0"/>
                  <w:vAlign w:val="center"/>
                </w:tcPr>
                <w:p>
                  <w:pPr>
                    <w:tabs>
                      <w:tab w:val="left" w:pos="6300"/>
                    </w:tabs>
                    <w:adjustRightInd w:val="0"/>
                    <w:snapToGrid w:val="0"/>
                    <w:spacing w:line="240" w:lineRule="auto"/>
                    <w:jc w:val="center"/>
                    <w:rPr>
                      <w:rFonts w:hint="eastAsia"/>
                      <w:bCs/>
                      <w:color w:val="auto"/>
                      <w:sz w:val="21"/>
                      <w:szCs w:val="21"/>
                    </w:rPr>
                  </w:pPr>
                  <w:r>
                    <w:rPr>
                      <w:rFonts w:hint="eastAsia"/>
                      <w:bCs/>
                      <w:color w:val="auto"/>
                      <w:sz w:val="21"/>
                      <w:szCs w:val="21"/>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609" w:type="dxa"/>
                  <w:shd w:val="clear" w:color="auto" w:fill="auto"/>
                  <w:noWrap w:val="0"/>
                  <w:vAlign w:val="center"/>
                </w:tcPr>
                <w:p>
                  <w:pPr>
                    <w:tabs>
                      <w:tab w:val="left" w:pos="6300"/>
                    </w:tabs>
                    <w:adjustRightInd w:val="0"/>
                    <w:snapToGrid w:val="0"/>
                    <w:spacing w:line="240" w:lineRule="auto"/>
                    <w:jc w:val="center"/>
                    <w:rPr>
                      <w:bCs/>
                      <w:color w:val="auto"/>
                      <w:sz w:val="21"/>
                      <w:szCs w:val="21"/>
                    </w:rPr>
                  </w:pPr>
                  <w:r>
                    <w:rPr>
                      <w:bCs/>
                      <w:color w:val="auto"/>
                      <w:sz w:val="21"/>
                      <w:szCs w:val="21"/>
                    </w:rPr>
                    <w:t>质量标准（μg/m</w:t>
                  </w:r>
                  <w:r>
                    <w:rPr>
                      <w:bCs/>
                      <w:color w:val="auto"/>
                      <w:sz w:val="21"/>
                      <w:szCs w:val="21"/>
                      <w:vertAlign w:val="superscript"/>
                    </w:rPr>
                    <w:t>3</w:t>
                  </w:r>
                  <w:r>
                    <w:rPr>
                      <w:bCs/>
                      <w:color w:val="auto"/>
                      <w:sz w:val="21"/>
                      <w:szCs w:val="21"/>
                    </w:rPr>
                    <w:t>）</w:t>
                  </w:r>
                </w:p>
              </w:tc>
              <w:tc>
                <w:tcPr>
                  <w:tcW w:w="1064" w:type="dxa"/>
                  <w:shd w:val="clear" w:color="auto" w:fill="auto"/>
                  <w:noWrap w:val="0"/>
                  <w:vAlign w:val="center"/>
                </w:tcPr>
                <w:p>
                  <w:pPr>
                    <w:tabs>
                      <w:tab w:val="left" w:pos="6300"/>
                    </w:tabs>
                    <w:adjustRightInd w:val="0"/>
                    <w:snapToGrid w:val="0"/>
                    <w:spacing w:line="240" w:lineRule="auto"/>
                    <w:jc w:val="center"/>
                    <w:rPr>
                      <w:rFonts w:hint="eastAsia"/>
                      <w:bCs/>
                      <w:color w:val="auto"/>
                      <w:sz w:val="21"/>
                      <w:szCs w:val="21"/>
                    </w:rPr>
                  </w:pPr>
                  <w:r>
                    <w:rPr>
                      <w:rFonts w:hint="eastAsia"/>
                      <w:bCs/>
                      <w:color w:val="auto"/>
                      <w:sz w:val="21"/>
                      <w:szCs w:val="21"/>
                    </w:rPr>
                    <w:t>60</w:t>
                  </w:r>
                </w:p>
              </w:tc>
              <w:tc>
                <w:tcPr>
                  <w:tcW w:w="1064" w:type="dxa"/>
                  <w:shd w:val="clear" w:color="auto" w:fill="D9D9D9"/>
                  <w:noWrap w:val="0"/>
                  <w:vAlign w:val="center"/>
                </w:tcPr>
                <w:p>
                  <w:pPr>
                    <w:tabs>
                      <w:tab w:val="left" w:pos="6300"/>
                    </w:tabs>
                    <w:adjustRightInd w:val="0"/>
                    <w:snapToGrid w:val="0"/>
                    <w:spacing w:line="240" w:lineRule="auto"/>
                    <w:jc w:val="center"/>
                    <w:rPr>
                      <w:bCs/>
                      <w:color w:val="auto"/>
                      <w:sz w:val="21"/>
                      <w:szCs w:val="21"/>
                    </w:rPr>
                  </w:pPr>
                  <w:r>
                    <w:rPr>
                      <w:rFonts w:hint="eastAsia"/>
                      <w:bCs/>
                      <w:color w:val="auto"/>
                      <w:sz w:val="21"/>
                      <w:szCs w:val="21"/>
                    </w:rPr>
                    <w:t>40</w:t>
                  </w:r>
                </w:p>
              </w:tc>
              <w:tc>
                <w:tcPr>
                  <w:tcW w:w="1065" w:type="dxa"/>
                  <w:noWrap w:val="0"/>
                  <w:vAlign w:val="center"/>
                </w:tcPr>
                <w:p>
                  <w:pPr>
                    <w:tabs>
                      <w:tab w:val="left" w:pos="6300"/>
                    </w:tabs>
                    <w:adjustRightInd w:val="0"/>
                    <w:snapToGrid w:val="0"/>
                    <w:spacing w:line="240" w:lineRule="auto"/>
                    <w:jc w:val="center"/>
                    <w:rPr>
                      <w:bCs/>
                      <w:color w:val="auto"/>
                      <w:sz w:val="21"/>
                      <w:szCs w:val="21"/>
                    </w:rPr>
                  </w:pPr>
                  <w:r>
                    <w:rPr>
                      <w:rFonts w:hint="eastAsia"/>
                      <w:bCs/>
                      <w:color w:val="auto"/>
                      <w:sz w:val="21"/>
                      <w:szCs w:val="21"/>
                    </w:rPr>
                    <w:t>70</w:t>
                  </w:r>
                </w:p>
              </w:tc>
              <w:tc>
                <w:tcPr>
                  <w:tcW w:w="1064" w:type="dxa"/>
                  <w:noWrap w:val="0"/>
                  <w:vAlign w:val="center"/>
                </w:tcPr>
                <w:p>
                  <w:pPr>
                    <w:tabs>
                      <w:tab w:val="left" w:pos="6300"/>
                    </w:tabs>
                    <w:adjustRightInd w:val="0"/>
                    <w:snapToGrid w:val="0"/>
                    <w:spacing w:line="240" w:lineRule="auto"/>
                    <w:jc w:val="center"/>
                    <w:rPr>
                      <w:bCs/>
                      <w:color w:val="auto"/>
                      <w:sz w:val="21"/>
                      <w:szCs w:val="21"/>
                    </w:rPr>
                  </w:pPr>
                  <w:r>
                    <w:rPr>
                      <w:rFonts w:hint="eastAsia"/>
                      <w:bCs/>
                      <w:color w:val="auto"/>
                      <w:sz w:val="21"/>
                      <w:szCs w:val="21"/>
                    </w:rPr>
                    <w:t>35</w:t>
                  </w:r>
                </w:p>
              </w:tc>
              <w:tc>
                <w:tcPr>
                  <w:tcW w:w="1064" w:type="dxa"/>
                  <w:noWrap w:val="0"/>
                  <w:vAlign w:val="center"/>
                </w:tcPr>
                <w:p>
                  <w:pPr>
                    <w:tabs>
                      <w:tab w:val="left" w:pos="6300"/>
                    </w:tabs>
                    <w:adjustRightInd w:val="0"/>
                    <w:snapToGrid w:val="0"/>
                    <w:spacing w:line="240" w:lineRule="auto"/>
                    <w:jc w:val="center"/>
                    <w:rPr>
                      <w:bCs/>
                      <w:color w:val="auto"/>
                      <w:sz w:val="21"/>
                      <w:szCs w:val="21"/>
                    </w:rPr>
                  </w:pPr>
                  <w:r>
                    <w:rPr>
                      <w:rFonts w:hint="eastAsia"/>
                      <w:bCs/>
                      <w:color w:val="auto"/>
                      <w:sz w:val="21"/>
                      <w:szCs w:val="21"/>
                    </w:rPr>
                    <w:t>4</w:t>
                  </w:r>
                </w:p>
              </w:tc>
              <w:tc>
                <w:tcPr>
                  <w:tcW w:w="1065" w:type="dxa"/>
                  <w:noWrap w:val="0"/>
                  <w:vAlign w:val="center"/>
                </w:tcPr>
                <w:p>
                  <w:pPr>
                    <w:tabs>
                      <w:tab w:val="left" w:pos="6300"/>
                    </w:tabs>
                    <w:adjustRightInd w:val="0"/>
                    <w:snapToGrid w:val="0"/>
                    <w:spacing w:line="240" w:lineRule="auto"/>
                    <w:jc w:val="center"/>
                    <w:rPr>
                      <w:bCs/>
                      <w:color w:val="auto"/>
                      <w:sz w:val="21"/>
                      <w:szCs w:val="21"/>
                    </w:rPr>
                  </w:pPr>
                  <w:r>
                    <w:rPr>
                      <w:rFonts w:hint="eastAsia"/>
                      <w:bCs/>
                      <w:color w:val="auto"/>
                      <w:sz w:val="21"/>
                      <w:szCs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609" w:type="dxa"/>
                  <w:shd w:val="clear" w:color="auto" w:fill="auto"/>
                  <w:noWrap w:val="0"/>
                  <w:vAlign w:val="center"/>
                </w:tcPr>
                <w:p>
                  <w:pPr>
                    <w:tabs>
                      <w:tab w:val="left" w:pos="6300"/>
                    </w:tabs>
                    <w:adjustRightInd w:val="0"/>
                    <w:snapToGrid w:val="0"/>
                    <w:spacing w:line="240" w:lineRule="auto"/>
                    <w:jc w:val="center"/>
                    <w:rPr>
                      <w:rFonts w:hint="eastAsia"/>
                      <w:bCs/>
                      <w:color w:val="auto"/>
                      <w:sz w:val="21"/>
                      <w:szCs w:val="21"/>
                    </w:rPr>
                  </w:pPr>
                  <w:r>
                    <w:rPr>
                      <w:rFonts w:hint="eastAsia"/>
                      <w:bCs/>
                      <w:color w:val="auto"/>
                      <w:sz w:val="21"/>
                      <w:szCs w:val="21"/>
                    </w:rPr>
                    <w:t>达标情况</w:t>
                  </w:r>
                </w:p>
              </w:tc>
              <w:tc>
                <w:tcPr>
                  <w:tcW w:w="1064" w:type="dxa"/>
                  <w:shd w:val="clear" w:color="auto" w:fill="auto"/>
                  <w:noWrap w:val="0"/>
                  <w:vAlign w:val="center"/>
                </w:tcPr>
                <w:p>
                  <w:pPr>
                    <w:tabs>
                      <w:tab w:val="left" w:pos="6300"/>
                    </w:tabs>
                    <w:adjustRightInd w:val="0"/>
                    <w:snapToGrid w:val="0"/>
                    <w:spacing w:line="240" w:lineRule="auto"/>
                    <w:jc w:val="center"/>
                    <w:rPr>
                      <w:bCs/>
                      <w:color w:val="auto"/>
                      <w:sz w:val="21"/>
                      <w:szCs w:val="21"/>
                    </w:rPr>
                  </w:pPr>
                  <w:r>
                    <w:rPr>
                      <w:bCs/>
                      <w:color w:val="auto"/>
                      <w:sz w:val="21"/>
                      <w:szCs w:val="21"/>
                    </w:rPr>
                    <w:t>达标</w:t>
                  </w:r>
                </w:p>
              </w:tc>
              <w:tc>
                <w:tcPr>
                  <w:tcW w:w="1064" w:type="dxa"/>
                  <w:shd w:val="clear" w:color="auto" w:fill="D9D9D9"/>
                  <w:noWrap w:val="0"/>
                  <w:vAlign w:val="center"/>
                </w:tcPr>
                <w:p>
                  <w:pPr>
                    <w:tabs>
                      <w:tab w:val="left" w:pos="6300"/>
                    </w:tabs>
                    <w:adjustRightInd w:val="0"/>
                    <w:snapToGrid w:val="0"/>
                    <w:spacing w:line="240" w:lineRule="auto"/>
                    <w:jc w:val="center"/>
                    <w:rPr>
                      <w:rFonts w:hint="eastAsia"/>
                      <w:bCs/>
                      <w:color w:val="auto"/>
                      <w:sz w:val="21"/>
                      <w:szCs w:val="21"/>
                    </w:rPr>
                  </w:pPr>
                  <w:r>
                    <w:rPr>
                      <w:rFonts w:hint="eastAsia"/>
                      <w:bCs/>
                      <w:color w:val="auto"/>
                      <w:sz w:val="21"/>
                      <w:szCs w:val="21"/>
                    </w:rPr>
                    <w:t>超标</w:t>
                  </w:r>
                </w:p>
              </w:tc>
              <w:tc>
                <w:tcPr>
                  <w:tcW w:w="1065" w:type="dxa"/>
                  <w:noWrap w:val="0"/>
                  <w:vAlign w:val="center"/>
                </w:tcPr>
                <w:p>
                  <w:pPr>
                    <w:tabs>
                      <w:tab w:val="left" w:pos="6300"/>
                    </w:tabs>
                    <w:adjustRightInd w:val="0"/>
                    <w:snapToGrid w:val="0"/>
                    <w:spacing w:line="240" w:lineRule="auto"/>
                    <w:jc w:val="center"/>
                    <w:rPr>
                      <w:bCs/>
                      <w:color w:val="auto"/>
                      <w:sz w:val="21"/>
                      <w:szCs w:val="21"/>
                    </w:rPr>
                  </w:pPr>
                  <w:r>
                    <w:rPr>
                      <w:bCs/>
                      <w:color w:val="auto"/>
                      <w:sz w:val="21"/>
                      <w:szCs w:val="21"/>
                    </w:rPr>
                    <w:t>达标</w:t>
                  </w:r>
                </w:p>
              </w:tc>
              <w:tc>
                <w:tcPr>
                  <w:tcW w:w="1064" w:type="dxa"/>
                  <w:noWrap w:val="0"/>
                  <w:vAlign w:val="center"/>
                </w:tcPr>
                <w:p>
                  <w:pPr>
                    <w:tabs>
                      <w:tab w:val="left" w:pos="6300"/>
                    </w:tabs>
                    <w:adjustRightInd w:val="0"/>
                    <w:snapToGrid w:val="0"/>
                    <w:spacing w:line="240" w:lineRule="auto"/>
                    <w:jc w:val="center"/>
                    <w:rPr>
                      <w:bCs/>
                      <w:color w:val="auto"/>
                      <w:sz w:val="21"/>
                      <w:szCs w:val="21"/>
                    </w:rPr>
                  </w:pPr>
                  <w:r>
                    <w:rPr>
                      <w:bCs/>
                      <w:color w:val="auto"/>
                      <w:sz w:val="21"/>
                      <w:szCs w:val="21"/>
                    </w:rPr>
                    <w:t>达标</w:t>
                  </w:r>
                </w:p>
              </w:tc>
              <w:tc>
                <w:tcPr>
                  <w:tcW w:w="1064" w:type="dxa"/>
                  <w:noWrap w:val="0"/>
                  <w:vAlign w:val="center"/>
                </w:tcPr>
                <w:p>
                  <w:pPr>
                    <w:tabs>
                      <w:tab w:val="left" w:pos="6300"/>
                    </w:tabs>
                    <w:adjustRightInd w:val="0"/>
                    <w:snapToGrid w:val="0"/>
                    <w:spacing w:line="240" w:lineRule="auto"/>
                    <w:jc w:val="center"/>
                    <w:rPr>
                      <w:bCs/>
                      <w:color w:val="auto"/>
                      <w:sz w:val="21"/>
                      <w:szCs w:val="21"/>
                    </w:rPr>
                  </w:pPr>
                  <w:r>
                    <w:rPr>
                      <w:bCs/>
                      <w:color w:val="auto"/>
                      <w:sz w:val="21"/>
                      <w:szCs w:val="21"/>
                    </w:rPr>
                    <w:t>达标</w:t>
                  </w:r>
                </w:p>
              </w:tc>
              <w:tc>
                <w:tcPr>
                  <w:tcW w:w="1065" w:type="dxa"/>
                  <w:noWrap w:val="0"/>
                  <w:vAlign w:val="center"/>
                </w:tcPr>
                <w:p>
                  <w:pPr>
                    <w:tabs>
                      <w:tab w:val="left" w:pos="6300"/>
                    </w:tabs>
                    <w:adjustRightInd w:val="0"/>
                    <w:snapToGrid w:val="0"/>
                    <w:spacing w:line="240" w:lineRule="auto"/>
                    <w:jc w:val="center"/>
                    <w:rPr>
                      <w:bCs/>
                      <w:color w:val="auto"/>
                      <w:sz w:val="21"/>
                      <w:szCs w:val="21"/>
                    </w:rPr>
                  </w:pPr>
                  <w:r>
                    <w:rPr>
                      <w:bCs/>
                      <w:color w:val="auto"/>
                      <w:sz w:val="21"/>
                      <w:szCs w:val="21"/>
                    </w:rPr>
                    <w:t>达标</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eastAsia"/>
                <w:kern w:val="0"/>
                <w:sz w:val="24"/>
              </w:rPr>
            </w:pPr>
            <w:r>
              <w:rPr>
                <w:rFonts w:hint="eastAsia"/>
                <w:kern w:val="0"/>
                <w:sz w:val="24"/>
              </w:rPr>
              <w:t>根据监测数据可知，白云区2018年的监控指标除NO</w:t>
            </w:r>
            <w:r>
              <w:rPr>
                <w:rFonts w:hint="eastAsia"/>
                <w:kern w:val="0"/>
                <w:sz w:val="24"/>
                <w:vertAlign w:val="subscript"/>
              </w:rPr>
              <w:t>2</w:t>
            </w:r>
            <w:r>
              <w:rPr>
                <w:rFonts w:hint="eastAsia"/>
                <w:kern w:val="0"/>
                <w:sz w:val="24"/>
              </w:rPr>
              <w:t>超标外，其它指标均达到《环境空气质量标准》（GB3095-2012）二级标准。说明项目所在地环境空气质量较差，但随着政府针对空气质量问题出台的政策，区域内的环境空气质量将会得到改善。</w:t>
            </w:r>
          </w:p>
          <w:p>
            <w:pPr>
              <w:adjustRightInd w:val="0"/>
              <w:snapToGrid w:val="0"/>
              <w:spacing w:line="360" w:lineRule="auto"/>
              <w:ind w:firstLine="482" w:firstLineChars="200"/>
              <w:rPr>
                <w:rFonts w:hint="eastAsia"/>
                <w:b/>
                <w:bCs/>
                <w:kern w:val="0"/>
                <w:sz w:val="24"/>
              </w:rPr>
            </w:pPr>
            <w:r>
              <w:rPr>
                <w:rFonts w:hint="eastAsia"/>
                <w:b/>
                <w:bCs/>
                <w:kern w:val="0"/>
                <w:sz w:val="24"/>
              </w:rPr>
              <w:t>项目所在区域环境空气质量达标判断：</w:t>
            </w:r>
          </w:p>
          <w:p>
            <w:pPr>
              <w:adjustRightInd w:val="0"/>
              <w:snapToGrid w:val="0"/>
              <w:spacing w:line="360" w:lineRule="auto"/>
              <w:ind w:firstLine="480" w:firstLineChars="200"/>
              <w:rPr>
                <w:rFonts w:hint="eastAsia"/>
                <w:kern w:val="0"/>
                <w:sz w:val="24"/>
              </w:rPr>
            </w:pPr>
            <w:r>
              <w:rPr>
                <w:rFonts w:hint="eastAsia"/>
                <w:kern w:val="0"/>
                <w:sz w:val="24"/>
              </w:rPr>
              <w:t>根据《环境影响评价技术导则-大气环境》（HJ2.2-2018），城市环境空气质量达标情况评价指标为SO</w:t>
            </w:r>
            <w:r>
              <w:rPr>
                <w:rFonts w:hint="eastAsia"/>
                <w:kern w:val="0"/>
                <w:sz w:val="24"/>
                <w:vertAlign w:val="subscript"/>
              </w:rPr>
              <w:t>2</w:t>
            </w:r>
            <w:r>
              <w:rPr>
                <w:rFonts w:hint="eastAsia"/>
                <w:kern w:val="0"/>
                <w:sz w:val="24"/>
              </w:rPr>
              <w:t>、NO</w:t>
            </w:r>
            <w:r>
              <w:rPr>
                <w:rFonts w:hint="eastAsia"/>
                <w:kern w:val="0"/>
                <w:sz w:val="24"/>
                <w:vertAlign w:val="subscript"/>
              </w:rPr>
              <w:t>2</w:t>
            </w:r>
            <w:r>
              <w:rPr>
                <w:rFonts w:hint="eastAsia"/>
                <w:kern w:val="0"/>
                <w:sz w:val="24"/>
              </w:rPr>
              <w:t>、PM</w:t>
            </w:r>
            <w:r>
              <w:rPr>
                <w:rFonts w:hint="eastAsia"/>
                <w:kern w:val="0"/>
                <w:sz w:val="24"/>
                <w:vertAlign w:val="subscript"/>
              </w:rPr>
              <w:t>10</w:t>
            </w:r>
            <w:r>
              <w:rPr>
                <w:rFonts w:hint="eastAsia"/>
                <w:kern w:val="0"/>
                <w:sz w:val="24"/>
              </w:rPr>
              <w:t>、PM</w:t>
            </w:r>
            <w:r>
              <w:rPr>
                <w:rFonts w:hint="eastAsia"/>
                <w:kern w:val="0"/>
                <w:sz w:val="24"/>
                <w:vertAlign w:val="subscript"/>
              </w:rPr>
              <w:t>2.5</w:t>
            </w:r>
            <w:r>
              <w:rPr>
                <w:rFonts w:hint="eastAsia"/>
                <w:kern w:val="0"/>
                <w:sz w:val="24"/>
              </w:rPr>
              <w:t>、CO、O</w:t>
            </w:r>
            <w:r>
              <w:rPr>
                <w:rFonts w:hint="eastAsia"/>
                <w:kern w:val="0"/>
                <w:sz w:val="24"/>
                <w:vertAlign w:val="subscript"/>
              </w:rPr>
              <w:t>3</w:t>
            </w:r>
            <w:r>
              <w:rPr>
                <w:rFonts w:hint="eastAsia"/>
                <w:kern w:val="0"/>
                <w:sz w:val="24"/>
              </w:rPr>
              <w:t>，六项污染物全部达标即为城市环境空气质量达标。根据监测结果，监测项目中NO2的年均浓度值不符合《环境空气质量标准》（GB3095-2012）二级标准。因此，项目所在区域为不达标区域。</w:t>
            </w:r>
          </w:p>
          <w:p>
            <w:pPr>
              <w:adjustRightInd w:val="0"/>
              <w:snapToGrid w:val="0"/>
              <w:spacing w:line="360" w:lineRule="auto"/>
              <w:ind w:firstLine="482" w:firstLineChars="200"/>
              <w:rPr>
                <w:rFonts w:hint="eastAsia"/>
                <w:b/>
                <w:bCs/>
                <w:color w:val="FF0000"/>
                <w:kern w:val="0"/>
                <w:sz w:val="24"/>
              </w:rPr>
            </w:pPr>
            <w:r>
              <w:rPr>
                <w:rFonts w:hint="eastAsia"/>
                <w:b/>
                <w:bCs/>
                <w:color w:val="FF0000"/>
                <w:kern w:val="0"/>
                <w:sz w:val="24"/>
              </w:rPr>
              <w:t>达标规划：</w:t>
            </w:r>
          </w:p>
          <w:p>
            <w:pPr>
              <w:adjustRightInd w:val="0"/>
              <w:snapToGrid w:val="0"/>
              <w:spacing w:line="360" w:lineRule="auto"/>
              <w:ind w:firstLine="480" w:firstLineChars="200"/>
              <w:rPr>
                <w:rFonts w:hint="eastAsia"/>
                <w:color w:val="FF0000"/>
                <w:kern w:val="0"/>
                <w:sz w:val="24"/>
              </w:rPr>
            </w:pPr>
            <w:r>
              <w:rPr>
                <w:rFonts w:hint="eastAsia"/>
                <w:color w:val="FF0000"/>
                <w:kern w:val="0"/>
                <w:sz w:val="24"/>
              </w:rPr>
              <w:t>针对目前环境空气质量未达标情况。广州市政府于2017年12月制定了《广州市环境空气质量达标规划（2016-20</w:t>
            </w:r>
            <w:r>
              <w:rPr>
                <w:rFonts w:hint="eastAsia"/>
                <w:color w:val="FF0000"/>
                <w:kern w:val="0"/>
                <w:sz w:val="24"/>
                <w:lang w:val="en-US" w:eastAsia="zh-CN"/>
              </w:rPr>
              <w:t>2</w:t>
            </w:r>
            <w:r>
              <w:rPr>
                <w:rFonts w:hint="eastAsia"/>
                <w:color w:val="FF0000"/>
                <w:kern w:val="0"/>
                <w:sz w:val="24"/>
              </w:rPr>
              <w:t>5）》（穗府[2017]25号），明确近期采取一系列产业和能源结构调整措施、大气污染治理措施，争取在2020年实现空气质量全面达标，空气质量达标天数比例达到90%以上，在2025年实现空气质量全面稳定达标，并在此基础上持续改善，臭氧污染得到有效控制，空气质量达标天数比例达到92%以上。按照该规划，本项目所在区域不达标指标NO</w:t>
            </w:r>
            <w:r>
              <w:rPr>
                <w:rFonts w:hint="eastAsia"/>
                <w:color w:val="FF0000"/>
                <w:kern w:val="0"/>
                <w:sz w:val="24"/>
                <w:vertAlign w:val="subscript"/>
              </w:rPr>
              <w:t>2</w:t>
            </w:r>
            <w:r>
              <w:rPr>
                <w:rFonts w:hint="eastAsia"/>
                <w:color w:val="FF0000"/>
                <w:kern w:val="0"/>
                <w:sz w:val="24"/>
              </w:rPr>
              <w:t xml:space="preserve"> 年均质量浓度预期可达到小于40ug/m</w:t>
            </w:r>
            <w:r>
              <w:rPr>
                <w:rFonts w:hint="eastAsia"/>
                <w:color w:val="FF0000"/>
                <w:kern w:val="0"/>
                <w:sz w:val="24"/>
                <w:vertAlign w:val="superscript"/>
              </w:rPr>
              <w:t>3</w:t>
            </w:r>
            <w:r>
              <w:rPr>
                <w:rFonts w:hint="eastAsia"/>
                <w:color w:val="FF0000"/>
                <w:kern w:val="0"/>
                <w:sz w:val="24"/>
              </w:rPr>
              <w:t>的要求，满足《环境空气质量标准》（GB3095-2012）及其修改单中二级标准要求。</w:t>
            </w:r>
          </w:p>
          <w:p>
            <w:pPr>
              <w:ind w:firstLine="198"/>
              <w:contextualSpacing/>
              <w:jc w:val="center"/>
              <w:rPr>
                <w:b/>
                <w:bCs/>
                <w:color w:val="FF0000"/>
                <w:sz w:val="21"/>
                <w:szCs w:val="21"/>
              </w:rPr>
            </w:pPr>
            <w:r>
              <w:rPr>
                <w:b/>
                <w:bCs/>
                <w:color w:val="FF0000"/>
                <w:sz w:val="21"/>
                <w:szCs w:val="21"/>
              </w:rPr>
              <w:t>表</w:t>
            </w:r>
            <w:r>
              <w:rPr>
                <w:rFonts w:hint="eastAsia"/>
                <w:b/>
                <w:bCs/>
                <w:color w:val="FF0000"/>
                <w:sz w:val="21"/>
                <w:szCs w:val="21"/>
                <w:lang w:val="en-US" w:eastAsia="zh-CN"/>
              </w:rPr>
              <w:t>3-2</w:t>
            </w:r>
            <w:r>
              <w:rPr>
                <w:b/>
                <w:bCs/>
                <w:color w:val="FF0000"/>
                <w:sz w:val="21"/>
                <w:szCs w:val="21"/>
              </w:rPr>
              <w:t xml:space="preserve"> </w:t>
            </w:r>
            <w:r>
              <w:rPr>
                <w:rFonts w:hint="eastAsia"/>
                <w:b/>
                <w:bCs/>
                <w:color w:val="FF0000"/>
                <w:sz w:val="21"/>
                <w:szCs w:val="21"/>
              </w:rPr>
              <w:t xml:space="preserve"> </w:t>
            </w:r>
            <w:r>
              <w:rPr>
                <w:b/>
                <w:bCs/>
                <w:color w:val="FF0000"/>
                <w:sz w:val="21"/>
                <w:szCs w:val="21"/>
              </w:rPr>
              <w:t>广州市空气质量达标规划指标</w:t>
            </w:r>
          </w:p>
          <w:tbl>
            <w:tblPr>
              <w:tblStyle w:val="15"/>
              <w:tblW w:w="840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33"/>
              <w:gridCol w:w="3850"/>
              <w:gridCol w:w="1312"/>
              <w:gridCol w:w="1312"/>
              <w:gridCol w:w="13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35" w:hRule="atLeast"/>
                <w:jc w:val="center"/>
              </w:trPr>
              <w:tc>
                <w:tcPr>
                  <w:tcW w:w="533" w:type="dxa"/>
                  <w:vMerge w:val="restart"/>
                  <w:noWrap w:val="0"/>
                  <w:vAlign w:val="center"/>
                </w:tcPr>
                <w:p>
                  <w:pPr>
                    <w:pStyle w:val="42"/>
                    <w:spacing w:beforeLines="0" w:afterLines="0"/>
                    <w:rPr>
                      <w:color w:val="FF0000"/>
                      <w:kern w:val="0"/>
                      <w:sz w:val="21"/>
                      <w:szCs w:val="22"/>
                    </w:rPr>
                  </w:pPr>
                  <w:r>
                    <w:rPr>
                      <w:color w:val="FF0000"/>
                      <w:kern w:val="0"/>
                      <w:sz w:val="21"/>
                      <w:szCs w:val="22"/>
                    </w:rPr>
                    <w:t>序号</w:t>
                  </w:r>
                </w:p>
              </w:tc>
              <w:tc>
                <w:tcPr>
                  <w:tcW w:w="3850" w:type="dxa"/>
                  <w:vMerge w:val="restart"/>
                  <w:noWrap w:val="0"/>
                  <w:vAlign w:val="center"/>
                </w:tcPr>
                <w:p>
                  <w:pPr>
                    <w:pStyle w:val="42"/>
                    <w:spacing w:beforeLines="0" w:afterLines="0"/>
                    <w:rPr>
                      <w:color w:val="FF0000"/>
                      <w:kern w:val="0"/>
                      <w:sz w:val="21"/>
                      <w:szCs w:val="22"/>
                    </w:rPr>
                  </w:pPr>
                  <w:r>
                    <w:rPr>
                      <w:color w:val="FF0000"/>
                      <w:kern w:val="0"/>
                      <w:sz w:val="21"/>
                      <w:szCs w:val="22"/>
                    </w:rPr>
                    <w:t>环境质量指标</w:t>
                  </w:r>
                </w:p>
              </w:tc>
              <w:tc>
                <w:tcPr>
                  <w:tcW w:w="2624" w:type="dxa"/>
                  <w:gridSpan w:val="2"/>
                  <w:noWrap w:val="0"/>
                  <w:vAlign w:val="center"/>
                </w:tcPr>
                <w:p>
                  <w:pPr>
                    <w:pStyle w:val="42"/>
                    <w:spacing w:beforeLines="0" w:afterLines="0"/>
                    <w:rPr>
                      <w:color w:val="FF0000"/>
                      <w:kern w:val="0"/>
                      <w:sz w:val="21"/>
                      <w:szCs w:val="22"/>
                    </w:rPr>
                  </w:pPr>
                  <w:r>
                    <w:rPr>
                      <w:color w:val="FF0000"/>
                      <w:kern w:val="0"/>
                      <w:sz w:val="21"/>
                      <w:szCs w:val="22"/>
                    </w:rPr>
                    <w:t>目标值</w:t>
                  </w:r>
                  <w:r>
                    <w:rPr>
                      <w:rFonts w:hint="eastAsia"/>
                      <w:color w:val="FF0000"/>
                      <w:kern w:val="0"/>
                      <w:sz w:val="21"/>
                      <w:szCs w:val="22"/>
                    </w:rPr>
                    <w:t>（</w:t>
                  </w:r>
                  <w:r>
                    <w:rPr>
                      <w:color w:val="FF0000"/>
                      <w:kern w:val="0"/>
                      <w:sz w:val="21"/>
                      <w:szCs w:val="22"/>
                    </w:rPr>
                    <w:t>u</w:t>
                  </w:r>
                  <w:r>
                    <w:rPr>
                      <w:rFonts w:hint="eastAsia"/>
                      <w:color w:val="FF0000"/>
                      <w:kern w:val="0"/>
                      <w:sz w:val="21"/>
                      <w:szCs w:val="22"/>
                    </w:rPr>
                    <w:t>g</w:t>
                  </w:r>
                  <w:r>
                    <w:rPr>
                      <w:color w:val="FF0000"/>
                      <w:kern w:val="0"/>
                      <w:sz w:val="21"/>
                      <w:szCs w:val="22"/>
                    </w:rPr>
                    <w:t>/m</w:t>
                  </w:r>
                  <w:r>
                    <w:rPr>
                      <w:color w:val="FF0000"/>
                      <w:kern w:val="0"/>
                      <w:sz w:val="21"/>
                      <w:szCs w:val="22"/>
                      <w:vertAlign w:val="superscript"/>
                    </w:rPr>
                    <w:t>3</w:t>
                  </w:r>
                  <w:r>
                    <w:rPr>
                      <w:rFonts w:hint="eastAsia"/>
                      <w:color w:val="FF0000"/>
                      <w:kern w:val="0"/>
                      <w:sz w:val="21"/>
                      <w:szCs w:val="22"/>
                    </w:rPr>
                    <w:t>）</w:t>
                  </w:r>
                </w:p>
              </w:tc>
              <w:tc>
                <w:tcPr>
                  <w:tcW w:w="1393" w:type="dxa"/>
                  <w:vMerge w:val="restart"/>
                  <w:noWrap w:val="0"/>
                  <w:vAlign w:val="center"/>
                </w:tcPr>
                <w:p>
                  <w:pPr>
                    <w:pStyle w:val="42"/>
                    <w:spacing w:beforeLines="0" w:afterLines="0"/>
                    <w:rPr>
                      <w:color w:val="FF0000"/>
                      <w:kern w:val="0"/>
                      <w:sz w:val="21"/>
                      <w:szCs w:val="22"/>
                    </w:rPr>
                  </w:pPr>
                  <w:r>
                    <w:rPr>
                      <w:color w:val="FF0000"/>
                      <w:kern w:val="0"/>
                      <w:sz w:val="21"/>
                      <w:szCs w:val="22"/>
                    </w:rPr>
                    <w:t>国家空气质量标准</w:t>
                  </w:r>
                  <w:r>
                    <w:rPr>
                      <w:rFonts w:hint="eastAsia"/>
                      <w:color w:val="FF0000"/>
                      <w:kern w:val="0"/>
                      <w:sz w:val="21"/>
                      <w:szCs w:val="22"/>
                    </w:rPr>
                    <w:t>（</w:t>
                  </w:r>
                  <w:r>
                    <w:rPr>
                      <w:color w:val="FF0000"/>
                      <w:kern w:val="0"/>
                      <w:sz w:val="21"/>
                      <w:szCs w:val="22"/>
                    </w:rPr>
                    <w:t>u</w:t>
                  </w:r>
                  <w:r>
                    <w:rPr>
                      <w:rFonts w:hint="eastAsia"/>
                      <w:color w:val="FF0000"/>
                      <w:kern w:val="0"/>
                      <w:sz w:val="21"/>
                      <w:szCs w:val="22"/>
                    </w:rPr>
                    <w:t>g</w:t>
                  </w:r>
                  <w:r>
                    <w:rPr>
                      <w:color w:val="FF0000"/>
                      <w:kern w:val="0"/>
                      <w:sz w:val="21"/>
                      <w:szCs w:val="22"/>
                    </w:rPr>
                    <w:t>/m</w:t>
                  </w:r>
                  <w:r>
                    <w:rPr>
                      <w:color w:val="FF0000"/>
                      <w:kern w:val="0"/>
                      <w:sz w:val="21"/>
                      <w:szCs w:val="22"/>
                      <w:vertAlign w:val="superscript"/>
                    </w:rPr>
                    <w:t>3</w:t>
                  </w:r>
                  <w:r>
                    <w:rPr>
                      <w:rFonts w:hint="eastAsia"/>
                      <w:color w:val="FF0000"/>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35" w:hRule="atLeast"/>
                <w:jc w:val="center"/>
              </w:trPr>
              <w:tc>
                <w:tcPr>
                  <w:tcW w:w="533" w:type="dxa"/>
                  <w:vMerge w:val="continue"/>
                  <w:noWrap w:val="0"/>
                  <w:vAlign w:val="center"/>
                </w:tcPr>
                <w:p>
                  <w:pPr>
                    <w:pStyle w:val="42"/>
                    <w:spacing w:beforeLines="0" w:afterLines="0"/>
                    <w:rPr>
                      <w:color w:val="FF0000"/>
                      <w:kern w:val="0"/>
                      <w:sz w:val="21"/>
                      <w:szCs w:val="22"/>
                    </w:rPr>
                  </w:pPr>
                </w:p>
              </w:tc>
              <w:tc>
                <w:tcPr>
                  <w:tcW w:w="3850" w:type="dxa"/>
                  <w:vMerge w:val="continue"/>
                  <w:noWrap w:val="0"/>
                  <w:vAlign w:val="center"/>
                </w:tcPr>
                <w:p>
                  <w:pPr>
                    <w:pStyle w:val="42"/>
                    <w:spacing w:beforeLines="0" w:afterLines="0"/>
                    <w:rPr>
                      <w:color w:val="FF0000"/>
                      <w:kern w:val="0"/>
                      <w:sz w:val="21"/>
                      <w:szCs w:val="22"/>
                    </w:rPr>
                  </w:pPr>
                </w:p>
              </w:tc>
              <w:tc>
                <w:tcPr>
                  <w:tcW w:w="1312" w:type="dxa"/>
                  <w:noWrap w:val="0"/>
                  <w:vAlign w:val="center"/>
                </w:tcPr>
                <w:p>
                  <w:pPr>
                    <w:pStyle w:val="42"/>
                    <w:spacing w:beforeLines="0" w:afterLines="0"/>
                    <w:rPr>
                      <w:color w:val="FF0000"/>
                      <w:kern w:val="0"/>
                      <w:sz w:val="21"/>
                      <w:szCs w:val="22"/>
                    </w:rPr>
                  </w:pPr>
                  <w:r>
                    <w:rPr>
                      <w:color w:val="FF0000"/>
                      <w:kern w:val="0"/>
                      <w:sz w:val="21"/>
                      <w:szCs w:val="22"/>
                    </w:rPr>
                    <w:t>近期2020年</w:t>
                  </w:r>
                </w:p>
              </w:tc>
              <w:tc>
                <w:tcPr>
                  <w:tcW w:w="1312" w:type="dxa"/>
                  <w:noWrap w:val="0"/>
                  <w:vAlign w:val="center"/>
                </w:tcPr>
                <w:p>
                  <w:pPr>
                    <w:pStyle w:val="42"/>
                    <w:spacing w:beforeLines="0" w:afterLines="0"/>
                    <w:rPr>
                      <w:color w:val="FF0000"/>
                      <w:kern w:val="0"/>
                      <w:sz w:val="21"/>
                      <w:szCs w:val="22"/>
                    </w:rPr>
                  </w:pPr>
                  <w:r>
                    <w:rPr>
                      <w:color w:val="FF0000"/>
                      <w:kern w:val="0"/>
                      <w:sz w:val="21"/>
                      <w:szCs w:val="22"/>
                    </w:rPr>
                    <w:t>中远期2025年</w:t>
                  </w:r>
                </w:p>
              </w:tc>
              <w:tc>
                <w:tcPr>
                  <w:tcW w:w="1393" w:type="dxa"/>
                  <w:vMerge w:val="continue"/>
                  <w:noWrap w:val="0"/>
                  <w:vAlign w:val="center"/>
                </w:tcPr>
                <w:p>
                  <w:pPr>
                    <w:pStyle w:val="42"/>
                    <w:spacing w:beforeLines="0" w:afterLines="0"/>
                    <w:rPr>
                      <w:color w:val="FF0000"/>
                      <w:kern w:val="0"/>
                      <w:sz w:val="21"/>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2" w:hRule="atLeast"/>
                <w:jc w:val="center"/>
              </w:trPr>
              <w:tc>
                <w:tcPr>
                  <w:tcW w:w="533" w:type="dxa"/>
                  <w:noWrap w:val="0"/>
                  <w:vAlign w:val="center"/>
                </w:tcPr>
                <w:p>
                  <w:pPr>
                    <w:pStyle w:val="42"/>
                    <w:spacing w:beforeLines="0" w:afterLines="0"/>
                    <w:rPr>
                      <w:b w:val="0"/>
                      <w:bCs/>
                      <w:color w:val="FF0000"/>
                      <w:kern w:val="0"/>
                      <w:sz w:val="21"/>
                      <w:szCs w:val="22"/>
                    </w:rPr>
                  </w:pPr>
                  <w:r>
                    <w:rPr>
                      <w:b w:val="0"/>
                      <w:bCs/>
                      <w:color w:val="FF0000"/>
                      <w:kern w:val="0"/>
                      <w:sz w:val="21"/>
                      <w:szCs w:val="22"/>
                    </w:rPr>
                    <w:t>1</w:t>
                  </w:r>
                </w:p>
              </w:tc>
              <w:tc>
                <w:tcPr>
                  <w:tcW w:w="3850" w:type="dxa"/>
                  <w:noWrap w:val="0"/>
                  <w:vAlign w:val="center"/>
                </w:tcPr>
                <w:p>
                  <w:pPr>
                    <w:pStyle w:val="42"/>
                    <w:spacing w:beforeLines="0" w:afterLines="0"/>
                    <w:rPr>
                      <w:b w:val="0"/>
                      <w:bCs/>
                      <w:color w:val="FF0000"/>
                      <w:kern w:val="0"/>
                      <w:sz w:val="21"/>
                      <w:szCs w:val="22"/>
                    </w:rPr>
                  </w:pPr>
                  <w:r>
                    <w:rPr>
                      <w:b w:val="0"/>
                      <w:bCs/>
                      <w:color w:val="FF0000"/>
                      <w:kern w:val="0"/>
                      <w:sz w:val="21"/>
                      <w:szCs w:val="22"/>
                    </w:rPr>
                    <w:t>SO</w:t>
                  </w:r>
                  <w:r>
                    <w:rPr>
                      <w:b w:val="0"/>
                      <w:bCs/>
                      <w:color w:val="FF0000"/>
                      <w:kern w:val="0"/>
                      <w:sz w:val="21"/>
                      <w:szCs w:val="22"/>
                      <w:vertAlign w:val="subscript"/>
                    </w:rPr>
                    <w:t>2</w:t>
                  </w:r>
                  <w:r>
                    <w:rPr>
                      <w:b w:val="0"/>
                      <w:bCs/>
                      <w:color w:val="FF0000"/>
                      <w:kern w:val="0"/>
                      <w:sz w:val="21"/>
                      <w:szCs w:val="22"/>
                    </w:rPr>
                    <w:t>年均浓度</w:t>
                  </w:r>
                </w:p>
              </w:tc>
              <w:tc>
                <w:tcPr>
                  <w:tcW w:w="2624" w:type="dxa"/>
                  <w:gridSpan w:val="2"/>
                  <w:noWrap w:val="0"/>
                  <w:vAlign w:val="center"/>
                </w:tcPr>
                <w:p>
                  <w:pPr>
                    <w:pStyle w:val="42"/>
                    <w:spacing w:beforeLines="0" w:afterLines="0"/>
                    <w:rPr>
                      <w:b w:val="0"/>
                      <w:bCs/>
                      <w:color w:val="FF0000"/>
                      <w:kern w:val="0"/>
                      <w:sz w:val="21"/>
                      <w:szCs w:val="22"/>
                    </w:rPr>
                  </w:pPr>
                  <w:r>
                    <w:rPr>
                      <w:b w:val="0"/>
                      <w:bCs/>
                      <w:color w:val="FF0000"/>
                      <w:kern w:val="0"/>
                      <w:sz w:val="21"/>
                      <w:szCs w:val="22"/>
                    </w:rPr>
                    <w:t>≤15</w:t>
                  </w:r>
                </w:p>
              </w:tc>
              <w:tc>
                <w:tcPr>
                  <w:tcW w:w="1393" w:type="dxa"/>
                  <w:noWrap w:val="0"/>
                  <w:vAlign w:val="center"/>
                </w:tcPr>
                <w:p>
                  <w:pPr>
                    <w:pStyle w:val="42"/>
                    <w:spacing w:beforeLines="0" w:afterLines="0"/>
                    <w:rPr>
                      <w:b w:val="0"/>
                      <w:bCs/>
                      <w:color w:val="FF0000"/>
                      <w:kern w:val="0"/>
                      <w:sz w:val="21"/>
                      <w:szCs w:val="22"/>
                    </w:rPr>
                  </w:pPr>
                  <w:r>
                    <w:rPr>
                      <w:b w:val="0"/>
                      <w:bCs/>
                      <w:color w:val="FF0000"/>
                      <w:kern w:val="0"/>
                      <w:sz w:val="21"/>
                      <w:szCs w:val="22"/>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2" w:hRule="atLeast"/>
                <w:jc w:val="center"/>
              </w:trPr>
              <w:tc>
                <w:tcPr>
                  <w:tcW w:w="533" w:type="dxa"/>
                  <w:noWrap w:val="0"/>
                  <w:vAlign w:val="center"/>
                </w:tcPr>
                <w:p>
                  <w:pPr>
                    <w:pStyle w:val="42"/>
                    <w:spacing w:beforeLines="0" w:afterLines="0"/>
                    <w:rPr>
                      <w:b w:val="0"/>
                      <w:bCs/>
                      <w:color w:val="FF0000"/>
                      <w:kern w:val="0"/>
                      <w:sz w:val="21"/>
                      <w:szCs w:val="22"/>
                    </w:rPr>
                  </w:pPr>
                  <w:r>
                    <w:rPr>
                      <w:b w:val="0"/>
                      <w:bCs/>
                      <w:color w:val="FF0000"/>
                      <w:kern w:val="0"/>
                      <w:sz w:val="21"/>
                      <w:szCs w:val="22"/>
                    </w:rPr>
                    <w:t>2</w:t>
                  </w:r>
                </w:p>
              </w:tc>
              <w:tc>
                <w:tcPr>
                  <w:tcW w:w="3850" w:type="dxa"/>
                  <w:noWrap w:val="0"/>
                  <w:vAlign w:val="center"/>
                </w:tcPr>
                <w:p>
                  <w:pPr>
                    <w:pStyle w:val="42"/>
                    <w:spacing w:beforeLines="0" w:afterLines="0"/>
                    <w:rPr>
                      <w:b w:val="0"/>
                      <w:bCs/>
                      <w:color w:val="FF0000"/>
                      <w:kern w:val="0"/>
                      <w:sz w:val="21"/>
                      <w:szCs w:val="22"/>
                    </w:rPr>
                  </w:pPr>
                  <w:r>
                    <w:rPr>
                      <w:b w:val="0"/>
                      <w:bCs/>
                      <w:color w:val="FF0000"/>
                      <w:kern w:val="0"/>
                      <w:sz w:val="21"/>
                      <w:szCs w:val="22"/>
                    </w:rPr>
                    <w:t>NO</w:t>
                  </w:r>
                  <w:r>
                    <w:rPr>
                      <w:b w:val="0"/>
                      <w:bCs/>
                      <w:color w:val="FF0000"/>
                      <w:kern w:val="0"/>
                      <w:sz w:val="21"/>
                      <w:szCs w:val="22"/>
                      <w:vertAlign w:val="subscript"/>
                    </w:rPr>
                    <w:t>2</w:t>
                  </w:r>
                  <w:r>
                    <w:rPr>
                      <w:b w:val="0"/>
                      <w:bCs/>
                      <w:color w:val="FF0000"/>
                      <w:kern w:val="0"/>
                      <w:sz w:val="21"/>
                      <w:szCs w:val="22"/>
                    </w:rPr>
                    <w:t>年均浓度</w:t>
                  </w:r>
                </w:p>
              </w:tc>
              <w:tc>
                <w:tcPr>
                  <w:tcW w:w="1312" w:type="dxa"/>
                  <w:noWrap w:val="0"/>
                  <w:vAlign w:val="center"/>
                </w:tcPr>
                <w:p>
                  <w:pPr>
                    <w:pStyle w:val="42"/>
                    <w:spacing w:beforeLines="0" w:afterLines="0"/>
                    <w:rPr>
                      <w:b w:val="0"/>
                      <w:bCs/>
                      <w:color w:val="FF0000"/>
                      <w:kern w:val="0"/>
                      <w:sz w:val="21"/>
                      <w:szCs w:val="22"/>
                    </w:rPr>
                  </w:pPr>
                  <w:r>
                    <w:rPr>
                      <w:b w:val="0"/>
                      <w:bCs/>
                      <w:color w:val="FF0000"/>
                      <w:kern w:val="0"/>
                      <w:sz w:val="21"/>
                      <w:szCs w:val="22"/>
                    </w:rPr>
                    <w:t>≤40</w:t>
                  </w:r>
                </w:p>
              </w:tc>
              <w:tc>
                <w:tcPr>
                  <w:tcW w:w="1312" w:type="dxa"/>
                  <w:noWrap w:val="0"/>
                  <w:vAlign w:val="center"/>
                </w:tcPr>
                <w:p>
                  <w:pPr>
                    <w:pStyle w:val="42"/>
                    <w:spacing w:beforeLines="0" w:afterLines="0"/>
                    <w:rPr>
                      <w:b w:val="0"/>
                      <w:bCs/>
                      <w:color w:val="FF0000"/>
                      <w:kern w:val="0"/>
                      <w:sz w:val="21"/>
                      <w:szCs w:val="22"/>
                    </w:rPr>
                  </w:pPr>
                  <w:r>
                    <w:rPr>
                      <w:b w:val="0"/>
                      <w:bCs/>
                      <w:color w:val="FF0000"/>
                      <w:kern w:val="0"/>
                      <w:sz w:val="21"/>
                      <w:szCs w:val="22"/>
                    </w:rPr>
                    <w:t>≤38</w:t>
                  </w:r>
                </w:p>
              </w:tc>
              <w:tc>
                <w:tcPr>
                  <w:tcW w:w="1393" w:type="dxa"/>
                  <w:noWrap w:val="0"/>
                  <w:vAlign w:val="center"/>
                </w:tcPr>
                <w:p>
                  <w:pPr>
                    <w:pStyle w:val="42"/>
                    <w:spacing w:beforeLines="0" w:afterLines="0"/>
                    <w:rPr>
                      <w:b w:val="0"/>
                      <w:bCs/>
                      <w:color w:val="FF0000"/>
                      <w:kern w:val="0"/>
                      <w:sz w:val="21"/>
                      <w:szCs w:val="22"/>
                    </w:rPr>
                  </w:pPr>
                  <w:r>
                    <w:rPr>
                      <w:b w:val="0"/>
                      <w:bCs/>
                      <w:color w:val="FF0000"/>
                      <w:kern w:val="0"/>
                      <w:sz w:val="21"/>
                      <w:szCs w:val="22"/>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2" w:hRule="atLeast"/>
                <w:jc w:val="center"/>
              </w:trPr>
              <w:tc>
                <w:tcPr>
                  <w:tcW w:w="533" w:type="dxa"/>
                  <w:noWrap w:val="0"/>
                  <w:vAlign w:val="center"/>
                </w:tcPr>
                <w:p>
                  <w:pPr>
                    <w:pStyle w:val="42"/>
                    <w:spacing w:beforeLines="0" w:afterLines="0"/>
                    <w:rPr>
                      <w:b w:val="0"/>
                      <w:bCs/>
                      <w:color w:val="FF0000"/>
                      <w:kern w:val="0"/>
                      <w:sz w:val="21"/>
                      <w:szCs w:val="22"/>
                    </w:rPr>
                  </w:pPr>
                  <w:r>
                    <w:rPr>
                      <w:b w:val="0"/>
                      <w:bCs/>
                      <w:color w:val="FF0000"/>
                      <w:kern w:val="0"/>
                      <w:sz w:val="21"/>
                      <w:szCs w:val="22"/>
                    </w:rPr>
                    <w:t>3</w:t>
                  </w:r>
                </w:p>
              </w:tc>
              <w:tc>
                <w:tcPr>
                  <w:tcW w:w="3850" w:type="dxa"/>
                  <w:noWrap w:val="0"/>
                  <w:vAlign w:val="center"/>
                </w:tcPr>
                <w:p>
                  <w:pPr>
                    <w:pStyle w:val="42"/>
                    <w:spacing w:beforeLines="0" w:afterLines="0"/>
                    <w:rPr>
                      <w:b w:val="0"/>
                      <w:bCs/>
                      <w:color w:val="FF0000"/>
                      <w:kern w:val="0"/>
                      <w:sz w:val="21"/>
                      <w:szCs w:val="22"/>
                    </w:rPr>
                  </w:pPr>
                  <w:r>
                    <w:rPr>
                      <w:b w:val="0"/>
                      <w:bCs/>
                      <w:color w:val="FF0000"/>
                      <w:kern w:val="0"/>
                      <w:sz w:val="21"/>
                      <w:szCs w:val="22"/>
                    </w:rPr>
                    <w:t>PM</w:t>
                  </w:r>
                  <w:r>
                    <w:rPr>
                      <w:b w:val="0"/>
                      <w:bCs/>
                      <w:color w:val="FF0000"/>
                      <w:kern w:val="0"/>
                      <w:sz w:val="21"/>
                      <w:szCs w:val="22"/>
                      <w:vertAlign w:val="subscript"/>
                    </w:rPr>
                    <w:t>10</w:t>
                  </w:r>
                  <w:r>
                    <w:rPr>
                      <w:b w:val="0"/>
                      <w:bCs/>
                      <w:color w:val="FF0000"/>
                      <w:kern w:val="0"/>
                      <w:sz w:val="21"/>
                      <w:szCs w:val="22"/>
                    </w:rPr>
                    <w:t>年均浓度</w:t>
                  </w:r>
                </w:p>
              </w:tc>
              <w:tc>
                <w:tcPr>
                  <w:tcW w:w="1312" w:type="dxa"/>
                  <w:noWrap w:val="0"/>
                  <w:vAlign w:val="center"/>
                </w:tcPr>
                <w:p>
                  <w:pPr>
                    <w:pStyle w:val="42"/>
                    <w:spacing w:beforeLines="0" w:afterLines="0"/>
                    <w:rPr>
                      <w:b w:val="0"/>
                      <w:bCs/>
                      <w:color w:val="FF0000"/>
                      <w:kern w:val="0"/>
                      <w:sz w:val="21"/>
                      <w:szCs w:val="22"/>
                    </w:rPr>
                  </w:pPr>
                  <w:r>
                    <w:rPr>
                      <w:b w:val="0"/>
                      <w:bCs/>
                      <w:color w:val="FF0000"/>
                      <w:kern w:val="0"/>
                      <w:sz w:val="21"/>
                      <w:szCs w:val="22"/>
                    </w:rPr>
                    <w:t>≤50</w:t>
                  </w:r>
                </w:p>
              </w:tc>
              <w:tc>
                <w:tcPr>
                  <w:tcW w:w="1312" w:type="dxa"/>
                  <w:noWrap w:val="0"/>
                  <w:vAlign w:val="center"/>
                </w:tcPr>
                <w:p>
                  <w:pPr>
                    <w:pStyle w:val="42"/>
                    <w:spacing w:beforeLines="0" w:afterLines="0"/>
                    <w:rPr>
                      <w:b w:val="0"/>
                      <w:bCs/>
                      <w:color w:val="FF0000"/>
                      <w:kern w:val="0"/>
                      <w:sz w:val="21"/>
                      <w:szCs w:val="22"/>
                    </w:rPr>
                  </w:pPr>
                  <w:r>
                    <w:rPr>
                      <w:b w:val="0"/>
                      <w:bCs/>
                      <w:color w:val="FF0000"/>
                      <w:kern w:val="0"/>
                      <w:sz w:val="21"/>
                      <w:szCs w:val="22"/>
                    </w:rPr>
                    <w:t>≤45</w:t>
                  </w:r>
                </w:p>
              </w:tc>
              <w:tc>
                <w:tcPr>
                  <w:tcW w:w="1393" w:type="dxa"/>
                  <w:noWrap w:val="0"/>
                  <w:vAlign w:val="center"/>
                </w:tcPr>
                <w:p>
                  <w:pPr>
                    <w:pStyle w:val="42"/>
                    <w:spacing w:beforeLines="0" w:afterLines="0"/>
                    <w:rPr>
                      <w:b w:val="0"/>
                      <w:bCs/>
                      <w:color w:val="FF0000"/>
                      <w:kern w:val="0"/>
                      <w:sz w:val="21"/>
                      <w:szCs w:val="22"/>
                    </w:rPr>
                  </w:pPr>
                  <w:r>
                    <w:rPr>
                      <w:b w:val="0"/>
                      <w:bCs/>
                      <w:color w:val="FF0000"/>
                      <w:kern w:val="0"/>
                      <w:sz w:val="21"/>
                      <w:szCs w:val="22"/>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2" w:hRule="atLeast"/>
                <w:jc w:val="center"/>
              </w:trPr>
              <w:tc>
                <w:tcPr>
                  <w:tcW w:w="533" w:type="dxa"/>
                  <w:noWrap w:val="0"/>
                  <w:vAlign w:val="center"/>
                </w:tcPr>
                <w:p>
                  <w:pPr>
                    <w:pStyle w:val="42"/>
                    <w:spacing w:beforeLines="0" w:afterLines="0"/>
                    <w:rPr>
                      <w:b w:val="0"/>
                      <w:bCs/>
                      <w:color w:val="FF0000"/>
                      <w:kern w:val="0"/>
                      <w:sz w:val="21"/>
                      <w:szCs w:val="22"/>
                    </w:rPr>
                  </w:pPr>
                  <w:r>
                    <w:rPr>
                      <w:b w:val="0"/>
                      <w:bCs/>
                      <w:color w:val="FF0000"/>
                      <w:kern w:val="0"/>
                      <w:sz w:val="21"/>
                      <w:szCs w:val="22"/>
                    </w:rPr>
                    <w:t>4</w:t>
                  </w:r>
                </w:p>
              </w:tc>
              <w:tc>
                <w:tcPr>
                  <w:tcW w:w="3850" w:type="dxa"/>
                  <w:noWrap w:val="0"/>
                  <w:vAlign w:val="center"/>
                </w:tcPr>
                <w:p>
                  <w:pPr>
                    <w:pStyle w:val="42"/>
                    <w:spacing w:beforeLines="0" w:afterLines="0"/>
                    <w:rPr>
                      <w:b w:val="0"/>
                      <w:bCs/>
                      <w:color w:val="FF0000"/>
                      <w:kern w:val="0"/>
                      <w:sz w:val="21"/>
                      <w:szCs w:val="22"/>
                    </w:rPr>
                  </w:pPr>
                  <w:r>
                    <w:rPr>
                      <w:b w:val="0"/>
                      <w:bCs/>
                      <w:color w:val="FF0000"/>
                      <w:kern w:val="0"/>
                      <w:sz w:val="21"/>
                      <w:szCs w:val="22"/>
                    </w:rPr>
                    <w:t>PM</w:t>
                  </w:r>
                  <w:r>
                    <w:rPr>
                      <w:b w:val="0"/>
                      <w:bCs/>
                      <w:color w:val="FF0000"/>
                      <w:kern w:val="0"/>
                      <w:sz w:val="21"/>
                      <w:szCs w:val="22"/>
                      <w:vertAlign w:val="subscript"/>
                    </w:rPr>
                    <w:t>2.5</w:t>
                  </w:r>
                  <w:r>
                    <w:rPr>
                      <w:b w:val="0"/>
                      <w:bCs/>
                      <w:color w:val="FF0000"/>
                      <w:kern w:val="0"/>
                      <w:sz w:val="21"/>
                      <w:szCs w:val="22"/>
                    </w:rPr>
                    <w:t>年均浓度</w:t>
                  </w:r>
                </w:p>
              </w:tc>
              <w:tc>
                <w:tcPr>
                  <w:tcW w:w="1312" w:type="dxa"/>
                  <w:noWrap w:val="0"/>
                  <w:vAlign w:val="center"/>
                </w:tcPr>
                <w:p>
                  <w:pPr>
                    <w:pStyle w:val="42"/>
                    <w:spacing w:beforeLines="0" w:afterLines="0"/>
                    <w:rPr>
                      <w:b w:val="0"/>
                      <w:bCs/>
                      <w:color w:val="FF0000"/>
                      <w:kern w:val="0"/>
                      <w:sz w:val="21"/>
                      <w:szCs w:val="22"/>
                    </w:rPr>
                  </w:pPr>
                  <w:r>
                    <w:rPr>
                      <w:b w:val="0"/>
                      <w:bCs/>
                      <w:color w:val="FF0000"/>
                      <w:kern w:val="0"/>
                      <w:sz w:val="21"/>
                      <w:szCs w:val="22"/>
                    </w:rPr>
                    <w:t>力争30</w:t>
                  </w:r>
                </w:p>
              </w:tc>
              <w:tc>
                <w:tcPr>
                  <w:tcW w:w="1312" w:type="dxa"/>
                  <w:noWrap w:val="0"/>
                  <w:vAlign w:val="center"/>
                </w:tcPr>
                <w:p>
                  <w:pPr>
                    <w:pStyle w:val="42"/>
                    <w:spacing w:beforeLines="0" w:afterLines="0"/>
                    <w:rPr>
                      <w:b w:val="0"/>
                      <w:bCs/>
                      <w:color w:val="FF0000"/>
                      <w:kern w:val="0"/>
                      <w:sz w:val="21"/>
                      <w:szCs w:val="22"/>
                    </w:rPr>
                  </w:pPr>
                  <w:r>
                    <w:rPr>
                      <w:b w:val="0"/>
                      <w:bCs/>
                      <w:color w:val="FF0000"/>
                      <w:kern w:val="0"/>
                      <w:sz w:val="21"/>
                      <w:szCs w:val="22"/>
                    </w:rPr>
                    <w:t>≤30</w:t>
                  </w:r>
                </w:p>
              </w:tc>
              <w:tc>
                <w:tcPr>
                  <w:tcW w:w="1393" w:type="dxa"/>
                  <w:noWrap w:val="0"/>
                  <w:vAlign w:val="center"/>
                </w:tcPr>
                <w:p>
                  <w:pPr>
                    <w:pStyle w:val="42"/>
                    <w:spacing w:beforeLines="0" w:afterLines="0"/>
                    <w:rPr>
                      <w:b w:val="0"/>
                      <w:bCs/>
                      <w:color w:val="FF0000"/>
                      <w:kern w:val="0"/>
                      <w:sz w:val="21"/>
                      <w:szCs w:val="22"/>
                    </w:rPr>
                  </w:pPr>
                  <w:r>
                    <w:rPr>
                      <w:b w:val="0"/>
                      <w:bCs/>
                      <w:color w:val="FF0000"/>
                      <w:kern w:val="0"/>
                      <w:sz w:val="21"/>
                      <w:szCs w:val="22"/>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2" w:hRule="atLeast"/>
                <w:jc w:val="center"/>
              </w:trPr>
              <w:tc>
                <w:tcPr>
                  <w:tcW w:w="533" w:type="dxa"/>
                  <w:noWrap w:val="0"/>
                  <w:vAlign w:val="center"/>
                </w:tcPr>
                <w:p>
                  <w:pPr>
                    <w:pStyle w:val="42"/>
                    <w:spacing w:beforeLines="0" w:afterLines="0"/>
                    <w:rPr>
                      <w:b w:val="0"/>
                      <w:bCs/>
                      <w:color w:val="FF0000"/>
                      <w:kern w:val="0"/>
                      <w:sz w:val="21"/>
                      <w:szCs w:val="22"/>
                    </w:rPr>
                  </w:pPr>
                  <w:r>
                    <w:rPr>
                      <w:b w:val="0"/>
                      <w:bCs/>
                      <w:color w:val="FF0000"/>
                      <w:kern w:val="0"/>
                      <w:sz w:val="21"/>
                      <w:szCs w:val="22"/>
                    </w:rPr>
                    <w:t>5</w:t>
                  </w:r>
                </w:p>
              </w:tc>
              <w:tc>
                <w:tcPr>
                  <w:tcW w:w="3850" w:type="dxa"/>
                  <w:noWrap w:val="0"/>
                  <w:vAlign w:val="center"/>
                </w:tcPr>
                <w:p>
                  <w:pPr>
                    <w:pStyle w:val="42"/>
                    <w:spacing w:beforeLines="0" w:afterLines="0"/>
                    <w:rPr>
                      <w:b w:val="0"/>
                      <w:bCs/>
                      <w:color w:val="FF0000"/>
                      <w:kern w:val="0"/>
                      <w:sz w:val="21"/>
                      <w:szCs w:val="22"/>
                    </w:rPr>
                  </w:pPr>
                  <w:r>
                    <w:rPr>
                      <w:b w:val="0"/>
                      <w:bCs/>
                      <w:color w:val="FF0000"/>
                      <w:kern w:val="0"/>
                      <w:sz w:val="21"/>
                      <w:szCs w:val="22"/>
                    </w:rPr>
                    <w:t>CO日平均值的第95百分数位</w:t>
                  </w:r>
                </w:p>
              </w:tc>
              <w:tc>
                <w:tcPr>
                  <w:tcW w:w="2624" w:type="dxa"/>
                  <w:gridSpan w:val="2"/>
                  <w:noWrap w:val="0"/>
                  <w:vAlign w:val="center"/>
                </w:tcPr>
                <w:p>
                  <w:pPr>
                    <w:pStyle w:val="42"/>
                    <w:spacing w:beforeLines="0" w:afterLines="0"/>
                    <w:rPr>
                      <w:b w:val="0"/>
                      <w:bCs/>
                      <w:color w:val="FF0000"/>
                      <w:kern w:val="0"/>
                      <w:sz w:val="21"/>
                      <w:szCs w:val="22"/>
                    </w:rPr>
                  </w:pPr>
                  <w:r>
                    <w:rPr>
                      <w:b w:val="0"/>
                      <w:bCs/>
                      <w:color w:val="FF0000"/>
                      <w:kern w:val="0"/>
                      <w:sz w:val="21"/>
                      <w:szCs w:val="22"/>
                    </w:rPr>
                    <w:t>≤2000</w:t>
                  </w:r>
                </w:p>
              </w:tc>
              <w:tc>
                <w:tcPr>
                  <w:tcW w:w="1393" w:type="dxa"/>
                  <w:noWrap w:val="0"/>
                  <w:vAlign w:val="center"/>
                </w:tcPr>
                <w:p>
                  <w:pPr>
                    <w:pStyle w:val="42"/>
                    <w:spacing w:beforeLines="0" w:afterLines="0"/>
                    <w:rPr>
                      <w:b w:val="0"/>
                      <w:bCs/>
                      <w:color w:val="FF0000"/>
                      <w:kern w:val="0"/>
                      <w:sz w:val="21"/>
                      <w:szCs w:val="22"/>
                    </w:rPr>
                  </w:pPr>
                  <w:r>
                    <w:rPr>
                      <w:b w:val="0"/>
                      <w:bCs/>
                      <w:color w:val="FF0000"/>
                      <w:kern w:val="0"/>
                      <w:sz w:val="21"/>
                      <w:szCs w:val="22"/>
                    </w:rPr>
                    <w:t>≤4000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71" w:hRule="atLeast"/>
                <w:jc w:val="center"/>
              </w:trPr>
              <w:tc>
                <w:tcPr>
                  <w:tcW w:w="533" w:type="dxa"/>
                  <w:noWrap w:val="0"/>
                  <w:vAlign w:val="center"/>
                </w:tcPr>
                <w:p>
                  <w:pPr>
                    <w:pStyle w:val="42"/>
                    <w:spacing w:beforeLines="0" w:afterLines="0"/>
                    <w:rPr>
                      <w:b w:val="0"/>
                      <w:bCs/>
                      <w:color w:val="FF0000"/>
                      <w:kern w:val="0"/>
                      <w:sz w:val="21"/>
                      <w:szCs w:val="22"/>
                    </w:rPr>
                  </w:pPr>
                  <w:r>
                    <w:rPr>
                      <w:b w:val="0"/>
                      <w:bCs/>
                      <w:color w:val="FF0000"/>
                      <w:kern w:val="0"/>
                      <w:sz w:val="21"/>
                      <w:szCs w:val="22"/>
                    </w:rPr>
                    <w:t>6</w:t>
                  </w:r>
                </w:p>
              </w:tc>
              <w:tc>
                <w:tcPr>
                  <w:tcW w:w="3850" w:type="dxa"/>
                  <w:noWrap w:val="0"/>
                  <w:vAlign w:val="center"/>
                </w:tcPr>
                <w:p>
                  <w:pPr>
                    <w:pStyle w:val="42"/>
                    <w:spacing w:beforeLines="0" w:afterLines="0"/>
                    <w:rPr>
                      <w:b w:val="0"/>
                      <w:bCs/>
                      <w:color w:val="FF0000"/>
                      <w:kern w:val="0"/>
                      <w:sz w:val="21"/>
                      <w:szCs w:val="22"/>
                    </w:rPr>
                  </w:pPr>
                  <w:r>
                    <w:rPr>
                      <w:b w:val="0"/>
                      <w:bCs/>
                      <w:color w:val="FF0000"/>
                      <w:kern w:val="0"/>
                      <w:sz w:val="21"/>
                      <w:szCs w:val="22"/>
                    </w:rPr>
                    <w:t>O</w:t>
                  </w:r>
                  <w:r>
                    <w:rPr>
                      <w:b w:val="0"/>
                      <w:bCs/>
                      <w:color w:val="FF0000"/>
                      <w:kern w:val="0"/>
                      <w:sz w:val="21"/>
                      <w:szCs w:val="22"/>
                      <w:vertAlign w:val="subscript"/>
                    </w:rPr>
                    <w:t>3</w:t>
                  </w:r>
                  <w:r>
                    <w:rPr>
                      <w:b w:val="0"/>
                      <w:bCs/>
                      <w:color w:val="FF0000"/>
                      <w:kern w:val="0"/>
                      <w:sz w:val="21"/>
                      <w:szCs w:val="22"/>
                    </w:rPr>
                    <w:t>日最大8小时平均值的第90百分数位</w:t>
                  </w:r>
                </w:p>
              </w:tc>
              <w:tc>
                <w:tcPr>
                  <w:tcW w:w="2624" w:type="dxa"/>
                  <w:gridSpan w:val="2"/>
                  <w:noWrap w:val="0"/>
                  <w:vAlign w:val="center"/>
                </w:tcPr>
                <w:p>
                  <w:pPr>
                    <w:pStyle w:val="42"/>
                    <w:spacing w:beforeLines="0" w:afterLines="0"/>
                    <w:rPr>
                      <w:b w:val="0"/>
                      <w:bCs/>
                      <w:color w:val="FF0000"/>
                      <w:kern w:val="0"/>
                      <w:sz w:val="21"/>
                      <w:szCs w:val="22"/>
                    </w:rPr>
                  </w:pPr>
                  <w:r>
                    <w:rPr>
                      <w:b w:val="0"/>
                      <w:bCs/>
                      <w:color w:val="FF0000"/>
                      <w:kern w:val="0"/>
                      <w:sz w:val="21"/>
                      <w:szCs w:val="22"/>
                    </w:rPr>
                    <w:t>≤160</w:t>
                  </w:r>
                </w:p>
              </w:tc>
              <w:tc>
                <w:tcPr>
                  <w:tcW w:w="1393" w:type="dxa"/>
                  <w:noWrap w:val="0"/>
                  <w:vAlign w:val="center"/>
                </w:tcPr>
                <w:p>
                  <w:pPr>
                    <w:pStyle w:val="42"/>
                    <w:spacing w:beforeLines="0" w:afterLines="0"/>
                    <w:rPr>
                      <w:b w:val="0"/>
                      <w:bCs/>
                      <w:color w:val="FF0000"/>
                      <w:kern w:val="0"/>
                      <w:sz w:val="21"/>
                      <w:szCs w:val="22"/>
                    </w:rPr>
                  </w:pPr>
                  <w:r>
                    <w:rPr>
                      <w:b w:val="0"/>
                      <w:bCs/>
                      <w:color w:val="FF0000"/>
                      <w:kern w:val="0"/>
                      <w:sz w:val="21"/>
                      <w:szCs w:val="22"/>
                    </w:rPr>
                    <w:t>≤160</w:t>
                  </w:r>
                </w:p>
              </w:tc>
            </w:tr>
          </w:tbl>
          <w:p>
            <w:pPr>
              <w:keepNext w:val="0"/>
              <w:keepLines w:val="0"/>
              <w:pageBreakBefore w:val="0"/>
              <w:widowControl w:val="0"/>
              <w:tabs>
                <w:tab w:val="left" w:pos="0"/>
              </w:tabs>
              <w:kinsoku/>
              <w:wordWrap/>
              <w:overflowPunct/>
              <w:topLinePunct w:val="0"/>
              <w:autoSpaceDE/>
              <w:autoSpaceDN/>
              <w:bidi w:val="0"/>
              <w:adjustRightInd/>
              <w:snapToGrid w:val="0"/>
              <w:spacing w:before="157" w:beforeLines="50" w:line="360" w:lineRule="auto"/>
              <w:ind w:firstLine="482" w:firstLineChars="200"/>
              <w:textAlignment w:val="auto"/>
              <w:rPr>
                <w:b/>
                <w:bCs/>
                <w:sz w:val="24"/>
              </w:rPr>
            </w:pPr>
            <w:r>
              <w:rPr>
                <w:rFonts w:hint="eastAsia"/>
                <w:b/>
                <w:bCs/>
                <w:sz w:val="24"/>
              </w:rPr>
              <w:t>二、地表水环境质量现状</w:t>
            </w:r>
          </w:p>
          <w:p>
            <w:pPr>
              <w:adjustRightInd w:val="0"/>
              <w:snapToGrid w:val="0"/>
              <w:spacing w:line="360" w:lineRule="auto"/>
              <w:ind w:firstLine="480" w:firstLineChars="200"/>
              <w:rPr>
                <w:rFonts w:hint="eastAsia"/>
                <w:sz w:val="24"/>
              </w:rPr>
            </w:pPr>
            <w:r>
              <w:rPr>
                <w:kern w:val="0"/>
                <w:sz w:val="24"/>
              </w:rPr>
              <w:t>本</w:t>
            </w:r>
            <w:r>
              <w:rPr>
                <w:sz w:val="24"/>
              </w:rPr>
              <w:t>项目位于</w:t>
            </w:r>
            <w:r>
              <w:rPr>
                <w:rFonts w:hint="eastAsia"/>
                <w:sz w:val="24"/>
              </w:rPr>
              <w:t>广州市白云区人和镇西湖村西湖西街54号</w:t>
            </w:r>
            <w:r>
              <w:rPr>
                <w:sz w:val="24"/>
              </w:rPr>
              <w:t>，</w:t>
            </w:r>
            <w:r>
              <w:rPr>
                <w:rFonts w:hint="eastAsia"/>
                <w:sz w:val="24"/>
              </w:rPr>
              <w:t>项目外排废水主要为员工生活污水，员工生活污水经三级化粪池预处理后，由市政污水管网引至龙归污水处理厂集中处理，尾水达标后排入均禾涌，最终流入石井河。</w:t>
            </w:r>
          </w:p>
          <w:p>
            <w:pPr>
              <w:adjustRightInd w:val="0"/>
              <w:snapToGrid w:val="0"/>
              <w:spacing w:line="360" w:lineRule="auto"/>
              <w:ind w:firstLine="480" w:firstLineChars="200"/>
              <w:rPr>
                <w:sz w:val="24"/>
              </w:rPr>
            </w:pPr>
            <w:r>
              <w:rPr>
                <w:rFonts w:hint="eastAsia"/>
                <w:sz w:val="24"/>
              </w:rPr>
              <w:t xml:space="preserve">根据《关于印发﹤广东省地表水环境功能区划﹥的通知》（粤环[2011]14 号）有关规定，“各水体未列出的上游及支流的水体环境质量控制目标以保证主流的环境质量控制目标为最低要求，原则上与汇入主干流的功能目标要求不能相差超过一个级别”。均禾涌为石井河的支流，因此本次评价建议均禾涌的水环境目标为Ⅳ类水体，执行《地表水环境质量标准》（GB 3838-2002）Ⅳ类标准；根据《广东省地表水功能区划》（粤府函[2011]14号），石井河属于综合用水，水质目标属于III 类功能区，执行《地表水环境质量标准》（GB3838-2002）中III 类标准。本次评价引用广州环保地理信息系统公布的2018年10月-2019年03月《广州市主要河涌水质月报》中石井河断面的监测数据，分析项目所在地区地表水环境质量状况。有关水污染物因子和监测数据见表3-3。 </w:t>
            </w:r>
          </w:p>
          <w:p>
            <w:pPr>
              <w:adjustRightInd w:val="0"/>
              <w:snapToGrid w:val="0"/>
              <w:spacing w:line="360" w:lineRule="auto"/>
              <w:jc w:val="center"/>
              <w:rPr>
                <w:b/>
                <w:szCs w:val="21"/>
              </w:rPr>
            </w:pPr>
            <w:r>
              <w:rPr>
                <w:b/>
                <w:szCs w:val="21"/>
              </w:rPr>
              <w:t>表</w:t>
            </w:r>
            <w:r>
              <w:rPr>
                <w:rFonts w:hint="eastAsia"/>
                <w:b/>
                <w:szCs w:val="21"/>
              </w:rPr>
              <w:t>3-</w:t>
            </w:r>
            <w:r>
              <w:rPr>
                <w:rFonts w:hint="eastAsia"/>
                <w:b/>
                <w:szCs w:val="21"/>
                <w:lang w:val="en-US" w:eastAsia="zh-CN"/>
              </w:rPr>
              <w:t>3</w:t>
            </w:r>
            <w:r>
              <w:rPr>
                <w:rFonts w:hint="eastAsia"/>
                <w:b/>
                <w:szCs w:val="21"/>
              </w:rPr>
              <w:t xml:space="preserve"> </w:t>
            </w:r>
            <w:r>
              <w:rPr>
                <w:b/>
                <w:szCs w:val="21"/>
              </w:rPr>
              <w:t xml:space="preserve"> </w:t>
            </w:r>
            <w:r>
              <w:rPr>
                <w:rFonts w:hint="eastAsia"/>
                <w:b/>
                <w:szCs w:val="21"/>
                <w:lang w:val="en-US" w:eastAsia="zh-CN"/>
              </w:rPr>
              <w:t>石井河</w:t>
            </w:r>
            <w:r>
              <w:rPr>
                <w:b/>
                <w:szCs w:val="21"/>
              </w:rPr>
              <w:t>水质现状监测结果（单位：mg/L）</w:t>
            </w:r>
          </w:p>
          <w:tbl>
            <w:tblPr>
              <w:tblStyle w:val="15"/>
              <w:tblW w:w="8277" w:type="dxa"/>
              <w:jc w:val="center"/>
              <w:tblInd w:w="10" w:type="dxa"/>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
            <w:tblGrid>
              <w:gridCol w:w="1117"/>
              <w:gridCol w:w="1483"/>
              <w:gridCol w:w="886"/>
              <w:gridCol w:w="1163"/>
              <w:gridCol w:w="1163"/>
              <w:gridCol w:w="1331"/>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Ex>
              <w:trPr>
                <w:trHeight w:val="23" w:hRule="atLeast"/>
                <w:jc w:val="center"/>
              </w:trPr>
              <w:tc>
                <w:tcPr>
                  <w:tcW w:w="2600" w:type="dxa"/>
                  <w:gridSpan w:val="2"/>
                  <w:tcBorders>
                    <w:tl2br w:val="nil"/>
                    <w:tr2bl w:val="nil"/>
                  </w:tcBorders>
                  <w:vAlign w:val="center"/>
                </w:tcPr>
                <w:p>
                  <w:pPr>
                    <w:jc w:val="center"/>
                    <w:rPr>
                      <w:szCs w:val="21"/>
                    </w:rPr>
                  </w:pPr>
                  <w:r>
                    <w:rPr>
                      <w:szCs w:val="21"/>
                    </w:rPr>
                    <w:t>项目</w:t>
                  </w:r>
                </w:p>
              </w:tc>
              <w:tc>
                <w:tcPr>
                  <w:tcW w:w="886" w:type="dxa"/>
                  <w:tcBorders>
                    <w:tl2br w:val="nil"/>
                    <w:tr2bl w:val="nil"/>
                  </w:tcBorders>
                  <w:vAlign w:val="center"/>
                </w:tcPr>
                <w:p>
                  <w:pPr>
                    <w:jc w:val="center"/>
                    <w:rPr>
                      <w:szCs w:val="21"/>
                    </w:rPr>
                  </w:pPr>
                  <w:r>
                    <w:rPr>
                      <w:szCs w:val="21"/>
                    </w:rPr>
                    <w:t>溶解氧</w:t>
                  </w:r>
                </w:p>
              </w:tc>
              <w:tc>
                <w:tcPr>
                  <w:tcW w:w="1163" w:type="dxa"/>
                  <w:tcBorders>
                    <w:tl2br w:val="nil"/>
                    <w:tr2bl w:val="nil"/>
                  </w:tcBorders>
                  <w:vAlign w:val="center"/>
                </w:tcPr>
                <w:p>
                  <w:pPr>
                    <w:jc w:val="center"/>
                    <w:rPr>
                      <w:szCs w:val="21"/>
                    </w:rPr>
                  </w:pPr>
                  <w:r>
                    <w:rPr>
                      <w:szCs w:val="21"/>
                    </w:rPr>
                    <w:t>氨氮</w:t>
                  </w:r>
                </w:p>
              </w:tc>
              <w:tc>
                <w:tcPr>
                  <w:tcW w:w="1163" w:type="dxa"/>
                  <w:tcBorders>
                    <w:tl2br w:val="nil"/>
                    <w:tr2bl w:val="nil"/>
                  </w:tcBorders>
                  <w:vAlign w:val="center"/>
                </w:tcPr>
                <w:p>
                  <w:pPr>
                    <w:jc w:val="center"/>
                    <w:rPr>
                      <w:szCs w:val="21"/>
                    </w:rPr>
                  </w:pPr>
                  <w:r>
                    <w:rPr>
                      <w:szCs w:val="21"/>
                    </w:rPr>
                    <w:t>总磷</w:t>
                  </w:r>
                </w:p>
              </w:tc>
              <w:tc>
                <w:tcPr>
                  <w:tcW w:w="1331" w:type="dxa"/>
                  <w:tcBorders>
                    <w:tl2br w:val="nil"/>
                    <w:tr2bl w:val="nil"/>
                  </w:tcBorders>
                  <w:vAlign w:val="center"/>
                </w:tcPr>
                <w:p>
                  <w:pPr>
                    <w:jc w:val="center"/>
                    <w:rPr>
                      <w:szCs w:val="21"/>
                    </w:rPr>
                  </w:pPr>
                  <w:r>
                    <w:rPr>
                      <w:szCs w:val="21"/>
                    </w:rPr>
                    <w:t>化学需氧量</w:t>
                  </w:r>
                </w:p>
              </w:tc>
              <w:tc>
                <w:tcPr>
                  <w:tcW w:w="1134" w:type="dxa"/>
                  <w:tcBorders>
                    <w:tl2br w:val="nil"/>
                    <w:tr2bl w:val="nil"/>
                  </w:tcBorders>
                  <w:vAlign w:val="center"/>
                </w:tcPr>
                <w:p>
                  <w:pPr>
                    <w:jc w:val="center"/>
                    <w:rPr>
                      <w:szCs w:val="21"/>
                    </w:rPr>
                  </w:pPr>
                  <w:r>
                    <w:rPr>
                      <w:szCs w:val="21"/>
                    </w:rPr>
                    <w:t>水质类</w:t>
                  </w:r>
                  <w:r>
                    <w:rPr>
                      <w:rFonts w:hint="eastAsia"/>
                      <w:szCs w:val="21"/>
                    </w:rPr>
                    <w:t>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Ex>
              <w:trPr>
                <w:trHeight w:val="23" w:hRule="atLeast"/>
                <w:jc w:val="center"/>
              </w:trPr>
              <w:tc>
                <w:tcPr>
                  <w:tcW w:w="1117" w:type="dxa"/>
                  <w:vMerge w:val="restart"/>
                  <w:tcBorders>
                    <w:tl2br w:val="nil"/>
                    <w:tr2bl w:val="nil"/>
                  </w:tcBorders>
                  <w:vAlign w:val="center"/>
                </w:tcPr>
                <w:p>
                  <w:pPr>
                    <w:jc w:val="center"/>
                    <w:rPr>
                      <w:szCs w:val="21"/>
                    </w:rPr>
                  </w:pPr>
                  <w:r>
                    <w:rPr>
                      <w:rFonts w:hint="eastAsia"/>
                      <w:szCs w:val="21"/>
                    </w:rPr>
                    <w:t>石井河</w:t>
                  </w:r>
                  <w:r>
                    <w:rPr>
                      <w:szCs w:val="21"/>
                    </w:rPr>
                    <w:t>断面监测值</w:t>
                  </w:r>
                </w:p>
              </w:tc>
              <w:tc>
                <w:tcPr>
                  <w:tcW w:w="1483" w:type="dxa"/>
                  <w:tcBorders>
                    <w:tl2br w:val="nil"/>
                    <w:tr2bl w:val="nil"/>
                  </w:tcBorders>
                  <w:vAlign w:val="center"/>
                </w:tcPr>
                <w:p>
                  <w:pPr>
                    <w:jc w:val="center"/>
                    <w:rPr>
                      <w:szCs w:val="21"/>
                    </w:rPr>
                  </w:pPr>
                  <w:r>
                    <w:rPr>
                      <w:szCs w:val="21"/>
                    </w:rPr>
                    <w:t>201</w:t>
                  </w:r>
                  <w:r>
                    <w:rPr>
                      <w:rFonts w:hint="eastAsia"/>
                      <w:szCs w:val="21"/>
                      <w:lang w:val="en-US" w:eastAsia="zh-CN"/>
                    </w:rPr>
                    <w:t>8</w:t>
                  </w:r>
                  <w:r>
                    <w:rPr>
                      <w:szCs w:val="21"/>
                    </w:rPr>
                    <w:t>年</w:t>
                  </w:r>
                  <w:r>
                    <w:rPr>
                      <w:rFonts w:hint="eastAsia"/>
                      <w:szCs w:val="21"/>
                      <w:lang w:val="en-US" w:eastAsia="zh-CN"/>
                    </w:rPr>
                    <w:t>10</w:t>
                  </w:r>
                  <w:r>
                    <w:rPr>
                      <w:szCs w:val="21"/>
                    </w:rPr>
                    <w:t>月</w:t>
                  </w:r>
                </w:p>
              </w:tc>
              <w:tc>
                <w:tcPr>
                  <w:tcW w:w="886"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2.14</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6.3</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0.61</w:t>
                  </w:r>
                </w:p>
              </w:tc>
              <w:tc>
                <w:tcPr>
                  <w:tcW w:w="1331"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22</w:t>
                  </w:r>
                </w:p>
              </w:tc>
              <w:tc>
                <w:tcPr>
                  <w:tcW w:w="1134" w:type="dxa"/>
                  <w:tcBorders>
                    <w:tl2br w:val="nil"/>
                    <w:tr2bl w:val="nil"/>
                  </w:tcBorders>
                  <w:vAlign w:val="center"/>
                </w:tcPr>
                <w:p>
                  <w:pPr>
                    <w:jc w:val="center"/>
                    <w:rPr>
                      <w:szCs w:val="21"/>
                    </w:rPr>
                  </w:pPr>
                  <w:r>
                    <w:rPr>
                      <w:szCs w:val="21"/>
                    </w:rPr>
                    <w:t>劣Ⅴ类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Ex>
              <w:trPr>
                <w:trHeight w:val="23" w:hRule="atLeast"/>
                <w:jc w:val="center"/>
              </w:trPr>
              <w:tc>
                <w:tcPr>
                  <w:tcW w:w="1117" w:type="dxa"/>
                  <w:vMerge w:val="continue"/>
                  <w:tcBorders>
                    <w:tl2br w:val="nil"/>
                    <w:tr2bl w:val="nil"/>
                  </w:tcBorders>
                  <w:vAlign w:val="center"/>
                </w:tcPr>
                <w:p>
                  <w:pPr>
                    <w:jc w:val="center"/>
                    <w:rPr>
                      <w:rFonts w:hint="eastAsia"/>
                      <w:szCs w:val="21"/>
                    </w:rPr>
                  </w:pPr>
                </w:p>
              </w:tc>
              <w:tc>
                <w:tcPr>
                  <w:tcW w:w="1483" w:type="dxa"/>
                  <w:tcBorders>
                    <w:tl2br w:val="nil"/>
                    <w:tr2bl w:val="nil"/>
                  </w:tcBorders>
                  <w:vAlign w:val="center"/>
                </w:tcPr>
                <w:p>
                  <w:pPr>
                    <w:jc w:val="center"/>
                    <w:rPr>
                      <w:szCs w:val="21"/>
                    </w:rPr>
                  </w:pPr>
                  <w:r>
                    <w:rPr>
                      <w:szCs w:val="21"/>
                    </w:rPr>
                    <w:t>201</w:t>
                  </w:r>
                  <w:r>
                    <w:rPr>
                      <w:rFonts w:hint="eastAsia"/>
                      <w:szCs w:val="21"/>
                      <w:lang w:val="en-US" w:eastAsia="zh-CN"/>
                    </w:rPr>
                    <w:t>8</w:t>
                  </w:r>
                  <w:r>
                    <w:rPr>
                      <w:szCs w:val="21"/>
                    </w:rPr>
                    <w:t>年</w:t>
                  </w:r>
                  <w:r>
                    <w:rPr>
                      <w:rFonts w:hint="eastAsia"/>
                      <w:szCs w:val="21"/>
                      <w:lang w:val="en-US" w:eastAsia="zh-CN"/>
                    </w:rPr>
                    <w:t>11</w:t>
                  </w:r>
                  <w:r>
                    <w:rPr>
                      <w:szCs w:val="21"/>
                    </w:rPr>
                    <w:t>月</w:t>
                  </w:r>
                </w:p>
              </w:tc>
              <w:tc>
                <w:tcPr>
                  <w:tcW w:w="886"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3.26</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3.19</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0.33</w:t>
                  </w:r>
                </w:p>
              </w:tc>
              <w:tc>
                <w:tcPr>
                  <w:tcW w:w="1331"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18</w:t>
                  </w:r>
                </w:p>
              </w:tc>
              <w:tc>
                <w:tcPr>
                  <w:tcW w:w="1134" w:type="dxa"/>
                  <w:tcBorders>
                    <w:tl2br w:val="nil"/>
                    <w:tr2bl w:val="nil"/>
                  </w:tcBorders>
                  <w:vAlign w:val="center"/>
                </w:tcPr>
                <w:p>
                  <w:pPr>
                    <w:jc w:val="center"/>
                    <w:rPr>
                      <w:szCs w:val="21"/>
                    </w:rPr>
                  </w:pPr>
                  <w:r>
                    <w:rPr>
                      <w:szCs w:val="21"/>
                    </w:rPr>
                    <w:t>劣Ⅴ类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Ex>
              <w:trPr>
                <w:trHeight w:val="23" w:hRule="atLeast"/>
                <w:jc w:val="center"/>
              </w:trPr>
              <w:tc>
                <w:tcPr>
                  <w:tcW w:w="1117" w:type="dxa"/>
                  <w:vMerge w:val="continue"/>
                  <w:tcBorders>
                    <w:tl2br w:val="nil"/>
                    <w:tr2bl w:val="nil"/>
                  </w:tcBorders>
                  <w:vAlign w:val="center"/>
                </w:tcPr>
                <w:p>
                  <w:pPr>
                    <w:jc w:val="center"/>
                    <w:rPr>
                      <w:rFonts w:hint="eastAsia"/>
                      <w:szCs w:val="21"/>
                    </w:rPr>
                  </w:pPr>
                </w:p>
              </w:tc>
              <w:tc>
                <w:tcPr>
                  <w:tcW w:w="1483" w:type="dxa"/>
                  <w:tcBorders>
                    <w:tl2br w:val="nil"/>
                    <w:tr2bl w:val="nil"/>
                  </w:tcBorders>
                  <w:vAlign w:val="center"/>
                </w:tcPr>
                <w:p>
                  <w:pPr>
                    <w:jc w:val="center"/>
                    <w:rPr>
                      <w:szCs w:val="21"/>
                    </w:rPr>
                  </w:pPr>
                  <w:r>
                    <w:rPr>
                      <w:szCs w:val="21"/>
                    </w:rPr>
                    <w:t>201</w:t>
                  </w:r>
                  <w:r>
                    <w:rPr>
                      <w:rFonts w:hint="eastAsia"/>
                      <w:szCs w:val="21"/>
                      <w:lang w:val="en-US" w:eastAsia="zh-CN"/>
                    </w:rPr>
                    <w:t>8</w:t>
                  </w:r>
                  <w:r>
                    <w:rPr>
                      <w:szCs w:val="21"/>
                    </w:rPr>
                    <w:t>年</w:t>
                  </w:r>
                  <w:r>
                    <w:rPr>
                      <w:rFonts w:hint="eastAsia"/>
                      <w:szCs w:val="21"/>
                      <w:lang w:val="en-US" w:eastAsia="zh-CN"/>
                    </w:rPr>
                    <w:t>12</w:t>
                  </w:r>
                  <w:r>
                    <w:rPr>
                      <w:szCs w:val="21"/>
                    </w:rPr>
                    <w:t>月</w:t>
                  </w:r>
                </w:p>
              </w:tc>
              <w:tc>
                <w:tcPr>
                  <w:tcW w:w="886"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2.65</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7.76</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0.6</w:t>
                  </w:r>
                </w:p>
              </w:tc>
              <w:tc>
                <w:tcPr>
                  <w:tcW w:w="1331"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23</w:t>
                  </w:r>
                </w:p>
              </w:tc>
              <w:tc>
                <w:tcPr>
                  <w:tcW w:w="1134" w:type="dxa"/>
                  <w:tcBorders>
                    <w:tl2br w:val="nil"/>
                    <w:tr2bl w:val="nil"/>
                  </w:tcBorders>
                  <w:vAlign w:val="center"/>
                </w:tcPr>
                <w:p>
                  <w:pPr>
                    <w:jc w:val="center"/>
                    <w:rPr>
                      <w:szCs w:val="21"/>
                    </w:rPr>
                  </w:pPr>
                  <w:r>
                    <w:rPr>
                      <w:szCs w:val="21"/>
                    </w:rPr>
                    <w:t>劣Ⅴ类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Ex>
              <w:trPr>
                <w:trHeight w:val="23" w:hRule="atLeast"/>
                <w:jc w:val="center"/>
              </w:trPr>
              <w:tc>
                <w:tcPr>
                  <w:tcW w:w="1117" w:type="dxa"/>
                  <w:vMerge w:val="continue"/>
                  <w:tcBorders>
                    <w:tl2br w:val="nil"/>
                    <w:tr2bl w:val="nil"/>
                  </w:tcBorders>
                  <w:vAlign w:val="center"/>
                </w:tcPr>
                <w:p>
                  <w:pPr>
                    <w:jc w:val="center"/>
                    <w:rPr>
                      <w:rFonts w:hint="eastAsia"/>
                      <w:szCs w:val="21"/>
                    </w:rPr>
                  </w:pPr>
                </w:p>
              </w:tc>
              <w:tc>
                <w:tcPr>
                  <w:tcW w:w="1483" w:type="dxa"/>
                  <w:tcBorders>
                    <w:tl2br w:val="nil"/>
                    <w:tr2bl w:val="nil"/>
                  </w:tcBorders>
                  <w:vAlign w:val="center"/>
                </w:tcPr>
                <w:p>
                  <w:pPr>
                    <w:jc w:val="center"/>
                    <w:rPr>
                      <w:szCs w:val="21"/>
                    </w:rPr>
                  </w:pPr>
                  <w:r>
                    <w:rPr>
                      <w:szCs w:val="21"/>
                    </w:rPr>
                    <w:t>201</w:t>
                  </w:r>
                  <w:r>
                    <w:rPr>
                      <w:rFonts w:hint="eastAsia"/>
                      <w:szCs w:val="21"/>
                      <w:lang w:val="en-US" w:eastAsia="zh-CN"/>
                    </w:rPr>
                    <w:t>9</w:t>
                  </w:r>
                  <w:r>
                    <w:rPr>
                      <w:szCs w:val="21"/>
                    </w:rPr>
                    <w:t>年</w:t>
                  </w:r>
                  <w:r>
                    <w:rPr>
                      <w:rFonts w:hint="eastAsia"/>
                      <w:szCs w:val="21"/>
                      <w:lang w:val="en-US" w:eastAsia="zh-CN"/>
                    </w:rPr>
                    <w:t>01</w:t>
                  </w:r>
                  <w:r>
                    <w:rPr>
                      <w:szCs w:val="21"/>
                    </w:rPr>
                    <w:t>月</w:t>
                  </w:r>
                </w:p>
              </w:tc>
              <w:tc>
                <w:tcPr>
                  <w:tcW w:w="886"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5.4</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1.98</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0.56</w:t>
                  </w:r>
                </w:p>
              </w:tc>
              <w:tc>
                <w:tcPr>
                  <w:tcW w:w="1331"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24.6</w:t>
                  </w:r>
                </w:p>
              </w:tc>
              <w:tc>
                <w:tcPr>
                  <w:tcW w:w="1134" w:type="dxa"/>
                  <w:tcBorders>
                    <w:tl2br w:val="nil"/>
                    <w:tr2bl w:val="nil"/>
                  </w:tcBorders>
                  <w:vAlign w:val="center"/>
                </w:tcPr>
                <w:p>
                  <w:pPr>
                    <w:jc w:val="center"/>
                    <w:rPr>
                      <w:szCs w:val="21"/>
                    </w:rPr>
                  </w:pPr>
                  <w:r>
                    <w:rPr>
                      <w:szCs w:val="21"/>
                    </w:rPr>
                    <w:t>劣Ⅴ类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Ex>
              <w:trPr>
                <w:trHeight w:val="23" w:hRule="atLeast"/>
                <w:jc w:val="center"/>
              </w:trPr>
              <w:tc>
                <w:tcPr>
                  <w:tcW w:w="1117" w:type="dxa"/>
                  <w:vMerge w:val="continue"/>
                  <w:tcBorders>
                    <w:tl2br w:val="nil"/>
                    <w:tr2bl w:val="nil"/>
                  </w:tcBorders>
                  <w:vAlign w:val="center"/>
                </w:tcPr>
                <w:p>
                  <w:pPr>
                    <w:jc w:val="center"/>
                    <w:rPr>
                      <w:rFonts w:hint="eastAsia"/>
                      <w:szCs w:val="21"/>
                    </w:rPr>
                  </w:pPr>
                </w:p>
              </w:tc>
              <w:tc>
                <w:tcPr>
                  <w:tcW w:w="1483" w:type="dxa"/>
                  <w:tcBorders>
                    <w:tl2br w:val="nil"/>
                    <w:tr2bl w:val="nil"/>
                  </w:tcBorders>
                  <w:vAlign w:val="center"/>
                </w:tcPr>
                <w:p>
                  <w:pPr>
                    <w:jc w:val="center"/>
                    <w:rPr>
                      <w:szCs w:val="21"/>
                    </w:rPr>
                  </w:pPr>
                  <w:r>
                    <w:rPr>
                      <w:szCs w:val="21"/>
                    </w:rPr>
                    <w:t>201</w:t>
                  </w:r>
                  <w:r>
                    <w:rPr>
                      <w:rFonts w:hint="eastAsia"/>
                      <w:szCs w:val="21"/>
                      <w:lang w:val="en-US" w:eastAsia="zh-CN"/>
                    </w:rPr>
                    <w:t>9</w:t>
                  </w:r>
                  <w:r>
                    <w:rPr>
                      <w:szCs w:val="21"/>
                    </w:rPr>
                    <w:t>年</w:t>
                  </w:r>
                  <w:r>
                    <w:rPr>
                      <w:rFonts w:hint="eastAsia"/>
                      <w:szCs w:val="21"/>
                      <w:lang w:val="en-US" w:eastAsia="zh-CN"/>
                    </w:rPr>
                    <w:t>02</w:t>
                  </w:r>
                  <w:r>
                    <w:rPr>
                      <w:szCs w:val="21"/>
                    </w:rPr>
                    <w:t>月</w:t>
                  </w:r>
                </w:p>
              </w:tc>
              <w:tc>
                <w:tcPr>
                  <w:tcW w:w="886"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6.1</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1.16</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0.36</w:t>
                  </w:r>
                </w:p>
              </w:tc>
              <w:tc>
                <w:tcPr>
                  <w:tcW w:w="1331"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14</w:t>
                  </w:r>
                </w:p>
              </w:tc>
              <w:tc>
                <w:tcPr>
                  <w:tcW w:w="1134" w:type="dxa"/>
                  <w:tcBorders>
                    <w:tl2br w:val="nil"/>
                    <w:tr2bl w:val="nil"/>
                  </w:tcBorders>
                  <w:vAlign w:val="center"/>
                </w:tcPr>
                <w:p>
                  <w:pPr>
                    <w:jc w:val="center"/>
                    <w:rPr>
                      <w:szCs w:val="21"/>
                    </w:rPr>
                  </w:pPr>
                  <w:r>
                    <w:rPr>
                      <w:szCs w:val="21"/>
                    </w:rPr>
                    <w:t>劣Ⅴ类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Ex>
              <w:trPr>
                <w:trHeight w:val="23" w:hRule="atLeast"/>
                <w:jc w:val="center"/>
              </w:trPr>
              <w:tc>
                <w:tcPr>
                  <w:tcW w:w="1117" w:type="dxa"/>
                  <w:vMerge w:val="continue"/>
                  <w:tcBorders>
                    <w:tl2br w:val="nil"/>
                    <w:tr2bl w:val="nil"/>
                  </w:tcBorders>
                  <w:vAlign w:val="center"/>
                </w:tcPr>
                <w:p>
                  <w:pPr>
                    <w:jc w:val="center"/>
                    <w:rPr>
                      <w:rFonts w:hint="eastAsia"/>
                      <w:szCs w:val="21"/>
                    </w:rPr>
                  </w:pPr>
                </w:p>
              </w:tc>
              <w:tc>
                <w:tcPr>
                  <w:tcW w:w="1483" w:type="dxa"/>
                  <w:tcBorders>
                    <w:tl2br w:val="nil"/>
                    <w:tr2bl w:val="nil"/>
                  </w:tcBorders>
                  <w:vAlign w:val="center"/>
                </w:tcPr>
                <w:p>
                  <w:pPr>
                    <w:jc w:val="center"/>
                    <w:rPr>
                      <w:szCs w:val="21"/>
                    </w:rPr>
                  </w:pPr>
                  <w:r>
                    <w:rPr>
                      <w:szCs w:val="21"/>
                    </w:rPr>
                    <w:t>201</w:t>
                  </w:r>
                  <w:r>
                    <w:rPr>
                      <w:rFonts w:hint="eastAsia"/>
                      <w:szCs w:val="21"/>
                      <w:lang w:val="en-US" w:eastAsia="zh-CN"/>
                    </w:rPr>
                    <w:t>9</w:t>
                  </w:r>
                  <w:r>
                    <w:rPr>
                      <w:szCs w:val="21"/>
                    </w:rPr>
                    <w:t>年</w:t>
                  </w:r>
                  <w:r>
                    <w:rPr>
                      <w:rFonts w:hint="eastAsia"/>
                      <w:szCs w:val="21"/>
                      <w:lang w:val="en-US" w:eastAsia="zh-CN"/>
                    </w:rPr>
                    <w:t>03</w:t>
                  </w:r>
                  <w:r>
                    <w:rPr>
                      <w:szCs w:val="21"/>
                    </w:rPr>
                    <w:t>月</w:t>
                  </w:r>
                </w:p>
              </w:tc>
              <w:tc>
                <w:tcPr>
                  <w:tcW w:w="886"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1.99</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3.8</w:t>
                  </w:r>
                </w:p>
              </w:tc>
              <w:tc>
                <w:tcPr>
                  <w:tcW w:w="1163"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0.6</w:t>
                  </w:r>
                </w:p>
              </w:tc>
              <w:tc>
                <w:tcPr>
                  <w:tcW w:w="1331" w:type="dxa"/>
                  <w:tcBorders>
                    <w:tl2br w:val="nil"/>
                    <w:tr2bl w:val="nil"/>
                  </w:tcBorders>
                  <w:vAlign w:val="center"/>
                </w:tcPr>
                <w:p>
                  <w:pPr>
                    <w:jc w:val="center"/>
                    <w:rPr>
                      <w:rFonts w:hint="default" w:eastAsia="宋体"/>
                      <w:szCs w:val="21"/>
                      <w:lang w:val="en-US" w:eastAsia="zh-CN"/>
                    </w:rPr>
                  </w:pPr>
                  <w:r>
                    <w:rPr>
                      <w:rFonts w:hint="eastAsia"/>
                      <w:szCs w:val="21"/>
                      <w:lang w:val="en-US" w:eastAsia="zh-CN"/>
                    </w:rPr>
                    <w:t>24</w:t>
                  </w:r>
                </w:p>
              </w:tc>
              <w:tc>
                <w:tcPr>
                  <w:tcW w:w="1134" w:type="dxa"/>
                  <w:tcBorders>
                    <w:tl2br w:val="nil"/>
                    <w:tr2bl w:val="nil"/>
                  </w:tcBorders>
                  <w:vAlign w:val="center"/>
                </w:tcPr>
                <w:p>
                  <w:pPr>
                    <w:jc w:val="center"/>
                    <w:rPr>
                      <w:szCs w:val="21"/>
                    </w:rPr>
                  </w:pPr>
                  <w:r>
                    <w:rPr>
                      <w:szCs w:val="21"/>
                    </w:rPr>
                    <w:t>劣Ⅴ类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Ex>
              <w:trPr>
                <w:trHeight w:val="23" w:hRule="atLeast"/>
                <w:jc w:val="center"/>
              </w:trPr>
              <w:tc>
                <w:tcPr>
                  <w:tcW w:w="2600" w:type="dxa"/>
                  <w:gridSpan w:val="2"/>
                  <w:tcBorders>
                    <w:tl2br w:val="nil"/>
                    <w:tr2bl w:val="nil"/>
                  </w:tcBorders>
                  <w:vAlign w:val="center"/>
                </w:tcPr>
                <w:p>
                  <w:pPr>
                    <w:jc w:val="center"/>
                    <w:rPr>
                      <w:szCs w:val="21"/>
                    </w:rPr>
                  </w:pPr>
                  <w:r>
                    <w:rPr>
                      <w:szCs w:val="21"/>
                    </w:rPr>
                    <w:t>（GB3838-2002）Ⅲ类标准</w:t>
                  </w:r>
                </w:p>
              </w:tc>
              <w:tc>
                <w:tcPr>
                  <w:tcW w:w="886" w:type="dxa"/>
                  <w:tcBorders>
                    <w:tl2br w:val="nil"/>
                    <w:tr2bl w:val="nil"/>
                  </w:tcBorders>
                  <w:vAlign w:val="center"/>
                </w:tcPr>
                <w:p>
                  <w:pPr>
                    <w:jc w:val="center"/>
                    <w:rPr>
                      <w:szCs w:val="21"/>
                    </w:rPr>
                  </w:pPr>
                  <w:r>
                    <w:rPr>
                      <w:szCs w:val="21"/>
                    </w:rPr>
                    <w:t>≥5.0</w:t>
                  </w:r>
                </w:p>
              </w:tc>
              <w:tc>
                <w:tcPr>
                  <w:tcW w:w="1163" w:type="dxa"/>
                  <w:tcBorders>
                    <w:tl2br w:val="nil"/>
                    <w:tr2bl w:val="nil"/>
                  </w:tcBorders>
                  <w:vAlign w:val="center"/>
                </w:tcPr>
                <w:p>
                  <w:pPr>
                    <w:jc w:val="center"/>
                    <w:rPr>
                      <w:szCs w:val="21"/>
                    </w:rPr>
                  </w:pPr>
                  <w:r>
                    <w:rPr>
                      <w:szCs w:val="21"/>
                    </w:rPr>
                    <w:t>≤1.0</w:t>
                  </w:r>
                </w:p>
              </w:tc>
              <w:tc>
                <w:tcPr>
                  <w:tcW w:w="1163" w:type="dxa"/>
                  <w:tcBorders>
                    <w:tl2br w:val="nil"/>
                    <w:tr2bl w:val="nil"/>
                  </w:tcBorders>
                  <w:vAlign w:val="center"/>
                </w:tcPr>
                <w:p>
                  <w:pPr>
                    <w:jc w:val="center"/>
                    <w:rPr>
                      <w:szCs w:val="21"/>
                    </w:rPr>
                  </w:pPr>
                  <w:r>
                    <w:rPr>
                      <w:szCs w:val="21"/>
                    </w:rPr>
                    <w:t>≤0.2</w:t>
                  </w:r>
                </w:p>
              </w:tc>
              <w:tc>
                <w:tcPr>
                  <w:tcW w:w="1331" w:type="dxa"/>
                  <w:tcBorders>
                    <w:tl2br w:val="nil"/>
                    <w:tr2bl w:val="nil"/>
                  </w:tcBorders>
                  <w:vAlign w:val="center"/>
                </w:tcPr>
                <w:p>
                  <w:pPr>
                    <w:jc w:val="center"/>
                    <w:rPr>
                      <w:szCs w:val="21"/>
                    </w:rPr>
                  </w:pPr>
                  <w:r>
                    <w:rPr>
                      <w:szCs w:val="21"/>
                    </w:rPr>
                    <w:t>≤20</w:t>
                  </w:r>
                </w:p>
              </w:tc>
              <w:tc>
                <w:tcPr>
                  <w:tcW w:w="1134" w:type="dxa"/>
                  <w:tcBorders>
                    <w:tl2br w:val="nil"/>
                    <w:tr2bl w:val="nil"/>
                  </w:tcBorders>
                  <w:vAlign w:val="center"/>
                </w:tcPr>
                <w:p>
                  <w:pPr>
                    <w:jc w:val="center"/>
                    <w:rPr>
                      <w:szCs w:val="21"/>
                    </w:rPr>
                  </w:pPr>
                  <w:r>
                    <w:rPr>
                      <w:szCs w:val="21"/>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Ex>
              <w:trPr>
                <w:trHeight w:val="23" w:hRule="atLeast"/>
                <w:jc w:val="center"/>
              </w:trPr>
              <w:tc>
                <w:tcPr>
                  <w:tcW w:w="2600" w:type="dxa"/>
                  <w:gridSpan w:val="2"/>
                  <w:tcBorders>
                    <w:tl2br w:val="nil"/>
                    <w:tr2bl w:val="nil"/>
                  </w:tcBorders>
                  <w:vAlign w:val="center"/>
                </w:tcPr>
                <w:p>
                  <w:pPr>
                    <w:jc w:val="center"/>
                    <w:rPr>
                      <w:szCs w:val="21"/>
                    </w:rPr>
                  </w:pPr>
                  <w:r>
                    <w:rPr>
                      <w:szCs w:val="21"/>
                    </w:rPr>
                    <w:t>达标情况</w:t>
                  </w:r>
                </w:p>
              </w:tc>
              <w:tc>
                <w:tcPr>
                  <w:tcW w:w="886" w:type="dxa"/>
                  <w:tcBorders>
                    <w:tl2br w:val="nil"/>
                    <w:tr2bl w:val="nil"/>
                  </w:tcBorders>
                  <w:vAlign w:val="center"/>
                </w:tcPr>
                <w:p>
                  <w:pPr>
                    <w:jc w:val="center"/>
                    <w:rPr>
                      <w:szCs w:val="21"/>
                    </w:rPr>
                  </w:pPr>
                  <w:r>
                    <w:rPr>
                      <w:szCs w:val="21"/>
                    </w:rPr>
                    <w:t>超标</w:t>
                  </w:r>
                </w:p>
              </w:tc>
              <w:tc>
                <w:tcPr>
                  <w:tcW w:w="1163" w:type="dxa"/>
                  <w:tcBorders>
                    <w:tl2br w:val="nil"/>
                    <w:tr2bl w:val="nil"/>
                  </w:tcBorders>
                  <w:vAlign w:val="center"/>
                </w:tcPr>
                <w:p>
                  <w:pPr>
                    <w:jc w:val="center"/>
                    <w:rPr>
                      <w:szCs w:val="21"/>
                    </w:rPr>
                  </w:pPr>
                  <w:r>
                    <w:rPr>
                      <w:szCs w:val="21"/>
                    </w:rPr>
                    <w:t>超标</w:t>
                  </w:r>
                </w:p>
              </w:tc>
              <w:tc>
                <w:tcPr>
                  <w:tcW w:w="1163" w:type="dxa"/>
                  <w:tcBorders>
                    <w:tl2br w:val="nil"/>
                    <w:tr2bl w:val="nil"/>
                  </w:tcBorders>
                  <w:vAlign w:val="center"/>
                </w:tcPr>
                <w:p>
                  <w:pPr>
                    <w:jc w:val="center"/>
                    <w:rPr>
                      <w:szCs w:val="21"/>
                    </w:rPr>
                  </w:pPr>
                  <w:r>
                    <w:rPr>
                      <w:szCs w:val="21"/>
                    </w:rPr>
                    <w:t>超标</w:t>
                  </w:r>
                </w:p>
              </w:tc>
              <w:tc>
                <w:tcPr>
                  <w:tcW w:w="1331" w:type="dxa"/>
                  <w:tcBorders>
                    <w:tl2br w:val="nil"/>
                    <w:tr2bl w:val="nil"/>
                  </w:tcBorders>
                  <w:vAlign w:val="center"/>
                </w:tcPr>
                <w:p>
                  <w:pPr>
                    <w:jc w:val="center"/>
                    <w:rPr>
                      <w:szCs w:val="21"/>
                    </w:rPr>
                  </w:pPr>
                  <w:r>
                    <w:rPr>
                      <w:szCs w:val="21"/>
                    </w:rPr>
                    <w:t>超标</w:t>
                  </w:r>
                </w:p>
              </w:tc>
              <w:tc>
                <w:tcPr>
                  <w:tcW w:w="1134" w:type="dxa"/>
                  <w:tcBorders>
                    <w:tl2br w:val="nil"/>
                    <w:tr2bl w:val="nil"/>
                  </w:tcBorders>
                  <w:vAlign w:val="center"/>
                </w:tcPr>
                <w:p>
                  <w:pPr>
                    <w:jc w:val="center"/>
                    <w:rPr>
                      <w:szCs w:val="21"/>
                    </w:rPr>
                  </w:pPr>
                  <w:r>
                    <w:rPr>
                      <w:szCs w:val="21"/>
                    </w:rPr>
                    <w:t>——</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eastAsia"/>
                <w:sz w:val="24"/>
              </w:rPr>
            </w:pPr>
            <w:r>
              <w:rPr>
                <w:rFonts w:hint="eastAsia"/>
                <w:sz w:val="24"/>
              </w:rPr>
              <w:t>从监测数据可知，2018年10月~2019年03月石井河监测断面各常规指标均超出了《地表水环境质量标准》(GB3838-2002)III类标准。</w:t>
            </w:r>
          </w:p>
          <w:p>
            <w:pPr>
              <w:adjustRightInd w:val="0"/>
              <w:snapToGrid w:val="0"/>
              <w:spacing w:line="360" w:lineRule="auto"/>
              <w:ind w:firstLine="480" w:firstLineChars="200"/>
              <w:rPr>
                <w:sz w:val="24"/>
              </w:rPr>
            </w:pPr>
            <w:r>
              <w:rPr>
                <w:rFonts w:hint="eastAsia"/>
                <w:sz w:val="24"/>
              </w:rPr>
              <w:t>从超标项目上来看，纳污水体在一定程度上受到有机污染，水环境质量现状较差，造成水质污染的原因可能为：城市生活污水排放量不断增加，而城市污水收集管网还未达到应有的水平，大部分未经处理的污水直接排入石井河。随着广州市市政污水管网及白云区污水处理系统工程的日益完善，城市生活污水处理率的提高，将有效的改善纳污水体的环境质量。</w:t>
            </w:r>
          </w:p>
          <w:p>
            <w:pPr>
              <w:tabs>
                <w:tab w:val="left" w:pos="0"/>
              </w:tabs>
              <w:snapToGrid w:val="0"/>
              <w:spacing w:line="360" w:lineRule="auto"/>
              <w:ind w:firstLine="482" w:firstLineChars="200"/>
              <w:rPr>
                <w:b/>
                <w:bCs/>
                <w:sz w:val="24"/>
              </w:rPr>
            </w:pPr>
            <w:r>
              <w:rPr>
                <w:rFonts w:hint="eastAsia"/>
                <w:b/>
                <w:bCs/>
                <w:sz w:val="24"/>
              </w:rPr>
              <w:t>三、声环境质量现状</w:t>
            </w:r>
          </w:p>
          <w:p>
            <w:pPr>
              <w:tabs>
                <w:tab w:val="left" w:pos="0"/>
              </w:tabs>
              <w:snapToGrid w:val="0"/>
              <w:spacing w:line="360" w:lineRule="auto"/>
              <w:ind w:firstLine="480" w:firstLineChars="200"/>
              <w:rPr>
                <w:sz w:val="24"/>
                <w:lang w:val="zh-CN"/>
              </w:rPr>
            </w:pPr>
            <w:r>
              <w:rPr>
                <w:rFonts w:hint="eastAsia"/>
                <w:sz w:val="24"/>
                <w:lang w:val="zh-CN"/>
              </w:rPr>
              <w:t>本项目位于</w:t>
            </w:r>
            <w:r>
              <w:rPr>
                <w:rFonts w:hint="eastAsia"/>
                <w:sz w:val="24"/>
              </w:rPr>
              <w:t>广州市白云区人和镇西湖村西湖西街54号</w:t>
            </w:r>
            <w:r>
              <w:rPr>
                <w:rFonts w:hint="eastAsia"/>
                <w:sz w:val="24"/>
                <w:lang w:val="zh-CN"/>
              </w:rPr>
              <w:t>，根据《广州市环境保护局关于印发广州市声环境功能区区域的通知》（穗环〔2018〕151号）规定，项目所在地属</w:t>
            </w:r>
            <w:r>
              <w:rPr>
                <w:sz w:val="24"/>
                <w:lang w:val="zh-CN"/>
              </w:rPr>
              <w:t>2</w:t>
            </w:r>
            <w:r>
              <w:rPr>
                <w:rFonts w:hint="eastAsia"/>
                <w:sz w:val="24"/>
                <w:lang w:val="zh-CN"/>
              </w:rPr>
              <w:t>类区，执行《声环境质量标准》（</w:t>
            </w:r>
            <w:r>
              <w:rPr>
                <w:sz w:val="24"/>
                <w:lang w:val="zh-CN"/>
              </w:rPr>
              <w:t>GB 3096-2008</w:t>
            </w:r>
            <w:r>
              <w:rPr>
                <w:rFonts w:hint="eastAsia"/>
                <w:sz w:val="24"/>
                <w:lang w:val="zh-CN"/>
              </w:rPr>
              <w:t>）</w:t>
            </w:r>
            <w:r>
              <w:rPr>
                <w:sz w:val="24"/>
              </w:rPr>
              <w:t>2</w:t>
            </w:r>
            <w:r>
              <w:rPr>
                <w:rFonts w:hint="eastAsia"/>
                <w:sz w:val="24"/>
                <w:lang w:val="zh-CN"/>
              </w:rPr>
              <w:t>类标准。</w:t>
            </w:r>
          </w:p>
          <w:p>
            <w:pPr>
              <w:tabs>
                <w:tab w:val="left" w:pos="0"/>
              </w:tabs>
              <w:snapToGrid w:val="0"/>
              <w:spacing w:line="360" w:lineRule="auto"/>
              <w:ind w:firstLine="480" w:firstLineChars="200"/>
              <w:rPr>
                <w:sz w:val="24"/>
                <w:lang w:val="zh-CN"/>
              </w:rPr>
            </w:pPr>
            <w:r>
              <w:rPr>
                <w:sz w:val="24"/>
              </w:rPr>
              <w:t>为了解本项目周围声环境现状，对该项目四周边界进行噪声监测，噪声监测方法按照国家《声环境质量标准》(GB3096-2008)的有关规定进行，监测仪器采用积分声级计，采用等效连续A声级Lep作为评价量，</w:t>
            </w:r>
            <w:r>
              <w:rPr>
                <w:rStyle w:val="19"/>
                <w:sz w:val="24"/>
                <w:szCs w:val="24"/>
              </w:rPr>
              <w:t>监测</w:t>
            </w:r>
            <w:r>
              <w:rPr>
                <w:rStyle w:val="19"/>
                <w:rFonts w:hint="eastAsia"/>
                <w:sz w:val="24"/>
                <w:szCs w:val="24"/>
                <w:lang w:val="en-US" w:eastAsia="zh-CN"/>
              </w:rPr>
              <w:t>布</w:t>
            </w:r>
            <w:r>
              <w:rPr>
                <w:rStyle w:val="19"/>
                <w:sz w:val="24"/>
                <w:szCs w:val="24"/>
              </w:rPr>
              <w:t>点位置见附图</w:t>
            </w:r>
            <w:r>
              <w:rPr>
                <w:rStyle w:val="19"/>
                <w:rFonts w:hint="eastAsia"/>
                <w:sz w:val="24"/>
                <w:szCs w:val="24"/>
              </w:rPr>
              <w:t>二</w:t>
            </w:r>
            <w:r>
              <w:rPr>
                <w:rStyle w:val="19"/>
                <w:sz w:val="24"/>
                <w:szCs w:val="24"/>
              </w:rPr>
              <w:t>，</w:t>
            </w:r>
            <w:r>
              <w:rPr>
                <w:sz w:val="24"/>
              </w:rPr>
              <w:t>监测时间为</w:t>
            </w:r>
            <w:r>
              <w:rPr>
                <w:color w:val="FF0000"/>
                <w:sz w:val="24"/>
                <w:lang w:val="zh-CN"/>
              </w:rPr>
              <w:t>201</w:t>
            </w:r>
            <w:r>
              <w:rPr>
                <w:rFonts w:hint="eastAsia"/>
                <w:color w:val="FF0000"/>
                <w:sz w:val="24"/>
                <w:lang w:val="en-US" w:eastAsia="zh-CN"/>
              </w:rPr>
              <w:t>9</w:t>
            </w:r>
            <w:r>
              <w:rPr>
                <w:rFonts w:hint="eastAsia"/>
                <w:color w:val="FF0000"/>
                <w:sz w:val="24"/>
                <w:lang w:val="zh-CN"/>
              </w:rPr>
              <w:t>年</w:t>
            </w:r>
            <w:r>
              <w:rPr>
                <w:rFonts w:hint="eastAsia"/>
                <w:color w:val="FF0000"/>
                <w:sz w:val="24"/>
                <w:lang w:val="en-US" w:eastAsia="zh-CN"/>
              </w:rPr>
              <w:t>6</w:t>
            </w:r>
            <w:r>
              <w:rPr>
                <w:rFonts w:hint="eastAsia"/>
                <w:color w:val="FF0000"/>
                <w:sz w:val="24"/>
                <w:lang w:val="zh-CN"/>
              </w:rPr>
              <w:t>月</w:t>
            </w:r>
            <w:r>
              <w:rPr>
                <w:rFonts w:hint="eastAsia"/>
                <w:color w:val="FF0000"/>
                <w:sz w:val="24"/>
                <w:lang w:val="en-US" w:eastAsia="zh-CN"/>
              </w:rPr>
              <w:t>17</w:t>
            </w:r>
            <w:r>
              <w:rPr>
                <w:rFonts w:hint="eastAsia"/>
                <w:color w:val="FF0000"/>
                <w:sz w:val="24"/>
                <w:lang w:val="zh-CN"/>
              </w:rPr>
              <w:t>日</w:t>
            </w:r>
            <w:r>
              <w:rPr>
                <w:rFonts w:hint="eastAsia"/>
                <w:color w:val="FF0000"/>
                <w:sz w:val="24"/>
                <w:lang w:val="en-US" w:eastAsia="zh-CN"/>
              </w:rPr>
              <w:t>-18日</w:t>
            </w:r>
            <w:r>
              <w:rPr>
                <w:color w:val="FF0000"/>
                <w:sz w:val="24"/>
              </w:rPr>
              <w:t>，昼间</w:t>
            </w:r>
            <w:r>
              <w:rPr>
                <w:rFonts w:hint="eastAsia"/>
                <w:color w:val="FF0000"/>
                <w:sz w:val="24"/>
                <w:lang w:val="en-US" w:eastAsia="zh-CN"/>
              </w:rPr>
              <w:t>6</w:t>
            </w:r>
            <w:r>
              <w:rPr>
                <w:color w:val="FF0000"/>
                <w:sz w:val="24"/>
              </w:rPr>
              <w:t>:00-</w:t>
            </w:r>
            <w:r>
              <w:rPr>
                <w:rFonts w:hint="eastAsia"/>
                <w:color w:val="FF0000"/>
                <w:sz w:val="24"/>
                <w:lang w:val="en-US" w:eastAsia="zh-CN"/>
              </w:rPr>
              <w:t>22</w:t>
            </w:r>
            <w:r>
              <w:rPr>
                <w:color w:val="FF0000"/>
                <w:sz w:val="24"/>
              </w:rPr>
              <w:t>:00，夜间22:00-</w:t>
            </w:r>
            <w:r>
              <w:rPr>
                <w:rFonts w:hint="eastAsia"/>
                <w:color w:val="FF0000"/>
                <w:sz w:val="24"/>
                <w:lang w:val="en-US" w:eastAsia="zh-CN"/>
              </w:rPr>
              <w:t>6</w:t>
            </w:r>
            <w:r>
              <w:rPr>
                <w:color w:val="FF0000"/>
                <w:sz w:val="24"/>
              </w:rPr>
              <w:t>:00</w:t>
            </w:r>
            <w:r>
              <w:rPr>
                <w:sz w:val="24"/>
              </w:rPr>
              <w:t>，测点结果见</w:t>
            </w:r>
            <w:r>
              <w:rPr>
                <w:rFonts w:hint="eastAsia"/>
                <w:sz w:val="24"/>
              </w:rPr>
              <w:t>下</w:t>
            </w:r>
            <w:r>
              <w:rPr>
                <w:sz w:val="24"/>
              </w:rPr>
              <w:t>表。</w:t>
            </w:r>
          </w:p>
          <w:p>
            <w:pPr>
              <w:adjustRightInd w:val="0"/>
              <w:snapToGrid w:val="0"/>
              <w:spacing w:line="360" w:lineRule="auto"/>
              <w:jc w:val="center"/>
              <w:rPr>
                <w:b/>
                <w:color w:val="FF0000"/>
                <w:szCs w:val="21"/>
              </w:rPr>
            </w:pPr>
            <w:r>
              <w:rPr>
                <w:rFonts w:hint="eastAsia"/>
                <w:b/>
                <w:color w:val="FF0000"/>
                <w:szCs w:val="21"/>
              </w:rPr>
              <w:t xml:space="preserve">表3-3 </w:t>
            </w:r>
            <w:r>
              <w:rPr>
                <w:b/>
                <w:color w:val="FF0000"/>
                <w:szCs w:val="21"/>
              </w:rPr>
              <w:t xml:space="preserve"> </w:t>
            </w:r>
            <w:r>
              <w:rPr>
                <w:rFonts w:hint="eastAsia"/>
                <w:b/>
                <w:color w:val="FF0000"/>
                <w:szCs w:val="21"/>
              </w:rPr>
              <w:t>建设项目环境噪声现状监测结果（单位</w:t>
            </w:r>
            <w:r>
              <w:rPr>
                <w:b/>
                <w:color w:val="FF0000"/>
                <w:szCs w:val="21"/>
              </w:rPr>
              <w:t>:</w:t>
            </w:r>
            <w:r>
              <w:rPr>
                <w:b/>
                <w:color w:val="FF0000"/>
              </w:rPr>
              <w:t xml:space="preserve"> L</w:t>
            </w:r>
            <w:r>
              <w:rPr>
                <w:b/>
                <w:color w:val="FF0000"/>
                <w:vertAlign w:val="subscript"/>
              </w:rPr>
              <w:t>eq</w:t>
            </w:r>
            <w:r>
              <w:rPr>
                <w:b/>
                <w:color w:val="FF0000"/>
              </w:rPr>
              <w:t>[dB(A)]</w:t>
            </w:r>
            <w:r>
              <w:rPr>
                <w:rFonts w:hint="eastAsia"/>
                <w:b/>
                <w:color w:val="FF0000"/>
                <w:szCs w:val="21"/>
              </w:rPr>
              <w:t>）</w:t>
            </w:r>
          </w:p>
          <w:tbl>
            <w:tblPr>
              <w:tblStyle w:val="15"/>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9"/>
              <w:gridCol w:w="1271"/>
              <w:gridCol w:w="1430"/>
              <w:gridCol w:w="1269"/>
              <w:gridCol w:w="1270"/>
              <w:gridCol w:w="1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blHeader/>
                <w:jc w:val="center"/>
              </w:trPr>
              <w:tc>
                <w:tcPr>
                  <w:tcW w:w="1739" w:type="dxa"/>
                  <w:vMerge w:val="restart"/>
                  <w:vAlign w:val="center"/>
                </w:tcPr>
                <w:p>
                  <w:pPr>
                    <w:ind w:left="-4" w:leftChars="-14" w:hanging="25" w:hangingChars="12"/>
                    <w:jc w:val="center"/>
                    <w:rPr>
                      <w:color w:val="FF0000"/>
                      <w:szCs w:val="21"/>
                    </w:rPr>
                  </w:pPr>
                  <w:r>
                    <w:rPr>
                      <w:rFonts w:hint="eastAsia"/>
                      <w:color w:val="FF0000"/>
                      <w:szCs w:val="21"/>
                    </w:rPr>
                    <w:t>测点</w:t>
                  </w:r>
                </w:p>
              </w:tc>
              <w:tc>
                <w:tcPr>
                  <w:tcW w:w="1271" w:type="dxa"/>
                  <w:vMerge w:val="restart"/>
                  <w:vAlign w:val="center"/>
                </w:tcPr>
                <w:p>
                  <w:pPr>
                    <w:ind w:left="-4" w:leftChars="-14" w:hanging="25" w:hangingChars="12"/>
                    <w:jc w:val="center"/>
                    <w:rPr>
                      <w:color w:val="FF0000"/>
                      <w:szCs w:val="21"/>
                    </w:rPr>
                  </w:pPr>
                  <w:r>
                    <w:rPr>
                      <w:rFonts w:hint="eastAsia"/>
                      <w:color w:val="FF0000"/>
                      <w:szCs w:val="21"/>
                    </w:rPr>
                    <w:t>日期</w:t>
                  </w:r>
                </w:p>
              </w:tc>
              <w:tc>
                <w:tcPr>
                  <w:tcW w:w="2699" w:type="dxa"/>
                  <w:gridSpan w:val="2"/>
                  <w:vAlign w:val="center"/>
                </w:tcPr>
                <w:p>
                  <w:pPr>
                    <w:ind w:left="-4" w:leftChars="-14" w:hanging="25" w:hangingChars="12"/>
                    <w:jc w:val="center"/>
                    <w:rPr>
                      <w:color w:val="FF0000"/>
                      <w:szCs w:val="21"/>
                    </w:rPr>
                  </w:pPr>
                  <w:r>
                    <w:rPr>
                      <w:rFonts w:hint="eastAsia"/>
                      <w:color w:val="FF0000"/>
                      <w:szCs w:val="21"/>
                    </w:rPr>
                    <w:t>昼间</w:t>
                  </w:r>
                  <w:r>
                    <w:rPr>
                      <w:color w:val="FF0000"/>
                      <w:szCs w:val="21"/>
                    </w:rPr>
                    <w:t>Leq</w:t>
                  </w:r>
                </w:p>
              </w:tc>
              <w:tc>
                <w:tcPr>
                  <w:tcW w:w="2587" w:type="dxa"/>
                  <w:gridSpan w:val="2"/>
                  <w:vAlign w:val="center"/>
                </w:tcPr>
                <w:p>
                  <w:pPr>
                    <w:ind w:left="-4" w:leftChars="-14" w:hanging="25" w:hangingChars="12"/>
                    <w:jc w:val="center"/>
                    <w:rPr>
                      <w:color w:val="FF0000"/>
                      <w:szCs w:val="21"/>
                    </w:rPr>
                  </w:pPr>
                  <w:r>
                    <w:rPr>
                      <w:rFonts w:hint="eastAsia"/>
                      <w:color w:val="FF0000"/>
                      <w:szCs w:val="21"/>
                    </w:rPr>
                    <w:t>夜间</w:t>
                  </w:r>
                  <w:r>
                    <w:rPr>
                      <w:color w:val="FF0000"/>
                      <w:szCs w:val="21"/>
                    </w:rPr>
                    <w:t>Leq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tblHeader/>
                <w:jc w:val="center"/>
              </w:trPr>
              <w:tc>
                <w:tcPr>
                  <w:tcW w:w="1739" w:type="dxa"/>
                  <w:vMerge w:val="continue"/>
                  <w:vAlign w:val="center"/>
                </w:tcPr>
                <w:p>
                  <w:pPr>
                    <w:ind w:left="-4" w:leftChars="-14" w:hanging="25" w:hangingChars="12"/>
                    <w:jc w:val="center"/>
                    <w:rPr>
                      <w:color w:val="FF0000"/>
                      <w:szCs w:val="21"/>
                    </w:rPr>
                  </w:pPr>
                </w:p>
              </w:tc>
              <w:tc>
                <w:tcPr>
                  <w:tcW w:w="1271" w:type="dxa"/>
                  <w:vMerge w:val="continue"/>
                  <w:vAlign w:val="center"/>
                </w:tcPr>
                <w:p>
                  <w:pPr>
                    <w:ind w:left="-4" w:leftChars="-14" w:hanging="25" w:hangingChars="12"/>
                    <w:jc w:val="center"/>
                    <w:rPr>
                      <w:color w:val="FF0000"/>
                      <w:szCs w:val="21"/>
                    </w:rPr>
                  </w:pPr>
                </w:p>
              </w:tc>
              <w:tc>
                <w:tcPr>
                  <w:tcW w:w="1430" w:type="dxa"/>
                  <w:vAlign w:val="center"/>
                </w:tcPr>
                <w:p>
                  <w:pPr>
                    <w:ind w:left="-4" w:leftChars="-14" w:hanging="25" w:hangingChars="12"/>
                    <w:jc w:val="center"/>
                    <w:rPr>
                      <w:color w:val="FF0000"/>
                      <w:szCs w:val="21"/>
                    </w:rPr>
                  </w:pPr>
                  <w:r>
                    <w:rPr>
                      <w:rFonts w:hint="eastAsia"/>
                      <w:color w:val="FF0000"/>
                      <w:szCs w:val="21"/>
                    </w:rPr>
                    <w:t>实测值</w:t>
                  </w:r>
                </w:p>
              </w:tc>
              <w:tc>
                <w:tcPr>
                  <w:tcW w:w="1269" w:type="dxa"/>
                  <w:vAlign w:val="center"/>
                </w:tcPr>
                <w:p>
                  <w:pPr>
                    <w:ind w:left="-4" w:leftChars="-14" w:hanging="25" w:hangingChars="12"/>
                    <w:jc w:val="center"/>
                    <w:rPr>
                      <w:color w:val="FF0000"/>
                      <w:szCs w:val="21"/>
                    </w:rPr>
                  </w:pPr>
                  <w:r>
                    <w:rPr>
                      <w:rFonts w:hint="eastAsia"/>
                      <w:color w:val="FF0000"/>
                      <w:szCs w:val="21"/>
                    </w:rPr>
                    <w:t>标准值</w:t>
                  </w:r>
                </w:p>
              </w:tc>
              <w:tc>
                <w:tcPr>
                  <w:tcW w:w="1270" w:type="dxa"/>
                  <w:vAlign w:val="center"/>
                </w:tcPr>
                <w:p>
                  <w:pPr>
                    <w:ind w:left="-4" w:leftChars="-14" w:hanging="25" w:hangingChars="12"/>
                    <w:jc w:val="center"/>
                    <w:rPr>
                      <w:color w:val="FF0000"/>
                      <w:szCs w:val="21"/>
                    </w:rPr>
                  </w:pPr>
                  <w:r>
                    <w:rPr>
                      <w:rFonts w:hint="eastAsia"/>
                      <w:color w:val="FF0000"/>
                      <w:szCs w:val="21"/>
                    </w:rPr>
                    <w:t>实测值</w:t>
                  </w:r>
                </w:p>
              </w:tc>
              <w:tc>
                <w:tcPr>
                  <w:tcW w:w="1317" w:type="dxa"/>
                  <w:vAlign w:val="center"/>
                </w:tcPr>
                <w:p>
                  <w:pPr>
                    <w:ind w:left="-4" w:leftChars="-14" w:hanging="25" w:hangingChars="12"/>
                    <w:jc w:val="center"/>
                    <w:rPr>
                      <w:color w:val="FF0000"/>
                      <w:szCs w:val="21"/>
                    </w:rPr>
                  </w:pPr>
                  <w:r>
                    <w:rPr>
                      <w:rFonts w:hint="eastAsia"/>
                      <w:color w:val="FF0000"/>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39" w:type="dxa"/>
                  <w:vAlign w:val="center"/>
                </w:tcPr>
                <w:p>
                  <w:pPr>
                    <w:ind w:left="-4" w:leftChars="-14" w:hanging="25" w:hangingChars="12"/>
                    <w:jc w:val="center"/>
                    <w:rPr>
                      <w:color w:val="FF0000"/>
                      <w:szCs w:val="21"/>
                    </w:rPr>
                  </w:pPr>
                  <w:r>
                    <w:rPr>
                      <w:color w:val="FF0000"/>
                      <w:szCs w:val="21"/>
                    </w:rPr>
                    <w:t>N1</w:t>
                  </w:r>
                  <w:r>
                    <w:rPr>
                      <w:rFonts w:hint="eastAsia"/>
                      <w:color w:val="FF0000"/>
                      <w:szCs w:val="21"/>
                    </w:rPr>
                    <w:t>东边界</w:t>
                  </w:r>
                </w:p>
              </w:tc>
              <w:tc>
                <w:tcPr>
                  <w:tcW w:w="1271" w:type="dxa"/>
                  <w:vMerge w:val="restart"/>
                  <w:vAlign w:val="center"/>
                </w:tcPr>
                <w:p>
                  <w:pPr>
                    <w:ind w:left="-4" w:leftChars="-14" w:hanging="25" w:hangingChars="12"/>
                    <w:jc w:val="center"/>
                    <w:rPr>
                      <w:rFonts w:hint="default" w:eastAsia="宋体"/>
                      <w:color w:val="FF0000"/>
                      <w:szCs w:val="21"/>
                      <w:lang w:val="en-US" w:eastAsia="zh-CN"/>
                    </w:rPr>
                  </w:pPr>
                  <w:r>
                    <w:rPr>
                      <w:color w:val="FF0000"/>
                      <w:szCs w:val="21"/>
                    </w:rPr>
                    <w:t>201</w:t>
                  </w:r>
                  <w:r>
                    <w:rPr>
                      <w:rFonts w:hint="eastAsia"/>
                      <w:color w:val="FF0000"/>
                      <w:szCs w:val="21"/>
                      <w:lang w:val="en-US" w:eastAsia="zh-CN"/>
                    </w:rPr>
                    <w:t>9-06-17</w:t>
                  </w:r>
                </w:p>
              </w:tc>
              <w:tc>
                <w:tcPr>
                  <w:tcW w:w="1430" w:type="dxa"/>
                  <w:vAlign w:val="center"/>
                </w:tcPr>
                <w:p>
                  <w:pPr>
                    <w:ind w:left="-4" w:leftChars="-14" w:hanging="25" w:hangingChars="12"/>
                    <w:jc w:val="center"/>
                    <w:rPr>
                      <w:rFonts w:hint="eastAsia" w:eastAsia="宋体"/>
                      <w:color w:val="FF0000"/>
                      <w:szCs w:val="21"/>
                      <w:lang w:eastAsia="zh-CN"/>
                    </w:rPr>
                  </w:pPr>
                  <w:r>
                    <w:rPr>
                      <w:color w:val="FF0000"/>
                      <w:szCs w:val="21"/>
                    </w:rPr>
                    <w:t>59.</w:t>
                  </w:r>
                  <w:r>
                    <w:rPr>
                      <w:rFonts w:hint="eastAsia"/>
                      <w:color w:val="FF0000"/>
                      <w:szCs w:val="21"/>
                      <w:lang w:val="en-US" w:eastAsia="zh-CN"/>
                    </w:rPr>
                    <w:t>1</w:t>
                  </w:r>
                </w:p>
              </w:tc>
              <w:tc>
                <w:tcPr>
                  <w:tcW w:w="1269" w:type="dxa"/>
                  <w:vMerge w:val="restart"/>
                  <w:vAlign w:val="center"/>
                </w:tcPr>
                <w:p>
                  <w:pPr>
                    <w:ind w:left="-4" w:leftChars="-14" w:hanging="25" w:hangingChars="12"/>
                    <w:jc w:val="center"/>
                    <w:rPr>
                      <w:color w:val="FF0000"/>
                      <w:szCs w:val="21"/>
                    </w:rPr>
                  </w:pPr>
                  <w:r>
                    <w:rPr>
                      <w:rFonts w:hint="eastAsia"/>
                      <w:color w:val="FF0000"/>
                      <w:szCs w:val="21"/>
                    </w:rPr>
                    <w:t>60</w:t>
                  </w:r>
                </w:p>
              </w:tc>
              <w:tc>
                <w:tcPr>
                  <w:tcW w:w="1270" w:type="dxa"/>
                  <w:vAlign w:val="center"/>
                </w:tcPr>
                <w:p>
                  <w:pPr>
                    <w:ind w:left="-4" w:leftChars="-14" w:hanging="25" w:hangingChars="12"/>
                    <w:jc w:val="center"/>
                    <w:rPr>
                      <w:rFonts w:hint="eastAsia" w:eastAsia="宋体"/>
                      <w:color w:val="FF0000"/>
                      <w:szCs w:val="21"/>
                      <w:lang w:eastAsia="zh-CN"/>
                    </w:rPr>
                  </w:pPr>
                  <w:r>
                    <w:rPr>
                      <w:color w:val="FF0000"/>
                      <w:szCs w:val="21"/>
                    </w:rPr>
                    <w:t>47.</w:t>
                  </w:r>
                  <w:r>
                    <w:rPr>
                      <w:rFonts w:hint="eastAsia"/>
                      <w:color w:val="FF0000"/>
                      <w:szCs w:val="21"/>
                      <w:lang w:val="en-US" w:eastAsia="zh-CN"/>
                    </w:rPr>
                    <w:t>9</w:t>
                  </w:r>
                </w:p>
              </w:tc>
              <w:tc>
                <w:tcPr>
                  <w:tcW w:w="1317" w:type="dxa"/>
                  <w:vMerge w:val="restart"/>
                  <w:vAlign w:val="center"/>
                </w:tcPr>
                <w:p>
                  <w:pPr>
                    <w:ind w:left="-4" w:leftChars="-14" w:hanging="25" w:hangingChars="12"/>
                    <w:jc w:val="center"/>
                    <w:rPr>
                      <w:color w:val="FF0000"/>
                      <w:szCs w:val="21"/>
                    </w:rPr>
                  </w:pPr>
                  <w:r>
                    <w:rPr>
                      <w:rFonts w:hint="eastAsia"/>
                      <w:color w:val="FF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39" w:type="dxa"/>
                  <w:vAlign w:val="center"/>
                </w:tcPr>
                <w:p>
                  <w:pPr>
                    <w:ind w:left="-4" w:leftChars="-14" w:hanging="25" w:hangingChars="12"/>
                    <w:jc w:val="center"/>
                    <w:rPr>
                      <w:color w:val="FF0000"/>
                      <w:szCs w:val="21"/>
                    </w:rPr>
                  </w:pPr>
                  <w:r>
                    <w:rPr>
                      <w:color w:val="FF0000"/>
                      <w:szCs w:val="21"/>
                    </w:rPr>
                    <w:t>N2</w:t>
                  </w:r>
                  <w:r>
                    <w:rPr>
                      <w:rFonts w:hint="eastAsia"/>
                      <w:color w:val="FF0000"/>
                      <w:szCs w:val="21"/>
                    </w:rPr>
                    <w:t>南边界</w:t>
                  </w:r>
                </w:p>
              </w:tc>
              <w:tc>
                <w:tcPr>
                  <w:tcW w:w="1271" w:type="dxa"/>
                  <w:vMerge w:val="continue"/>
                  <w:vAlign w:val="center"/>
                </w:tcPr>
                <w:p>
                  <w:pPr>
                    <w:ind w:left="-4" w:leftChars="-14" w:hanging="25" w:hangingChars="12"/>
                    <w:jc w:val="center"/>
                    <w:rPr>
                      <w:color w:val="FF0000"/>
                      <w:szCs w:val="21"/>
                    </w:rPr>
                  </w:pPr>
                </w:p>
              </w:tc>
              <w:tc>
                <w:tcPr>
                  <w:tcW w:w="1430" w:type="dxa"/>
                  <w:vAlign w:val="center"/>
                </w:tcPr>
                <w:p>
                  <w:pPr>
                    <w:ind w:left="-4" w:leftChars="-14" w:hanging="25" w:hangingChars="12"/>
                    <w:jc w:val="center"/>
                    <w:rPr>
                      <w:rFonts w:hint="eastAsia" w:eastAsia="宋体"/>
                      <w:color w:val="FF0000"/>
                      <w:szCs w:val="21"/>
                      <w:lang w:eastAsia="zh-CN"/>
                    </w:rPr>
                  </w:pPr>
                  <w:r>
                    <w:rPr>
                      <w:rFonts w:hint="eastAsia"/>
                      <w:color w:val="FF0000"/>
                      <w:szCs w:val="21"/>
                    </w:rPr>
                    <w:t>5</w:t>
                  </w:r>
                  <w:r>
                    <w:rPr>
                      <w:color w:val="FF0000"/>
                      <w:szCs w:val="21"/>
                    </w:rPr>
                    <w:t>8</w:t>
                  </w:r>
                  <w:r>
                    <w:rPr>
                      <w:rFonts w:hint="eastAsia"/>
                      <w:color w:val="FF0000"/>
                      <w:szCs w:val="21"/>
                    </w:rPr>
                    <w:t>.</w:t>
                  </w:r>
                  <w:r>
                    <w:rPr>
                      <w:rFonts w:hint="eastAsia"/>
                      <w:color w:val="FF0000"/>
                      <w:szCs w:val="21"/>
                      <w:lang w:val="en-US" w:eastAsia="zh-CN"/>
                    </w:rPr>
                    <w:t>4</w:t>
                  </w:r>
                </w:p>
              </w:tc>
              <w:tc>
                <w:tcPr>
                  <w:tcW w:w="1269" w:type="dxa"/>
                  <w:vMerge w:val="continue"/>
                  <w:vAlign w:val="center"/>
                </w:tcPr>
                <w:p>
                  <w:pPr>
                    <w:ind w:left="-4" w:leftChars="-14" w:hanging="25" w:hangingChars="12"/>
                    <w:jc w:val="center"/>
                    <w:rPr>
                      <w:color w:val="FF0000"/>
                      <w:szCs w:val="21"/>
                    </w:rPr>
                  </w:pPr>
                </w:p>
              </w:tc>
              <w:tc>
                <w:tcPr>
                  <w:tcW w:w="1270" w:type="dxa"/>
                  <w:vAlign w:val="center"/>
                </w:tcPr>
                <w:p>
                  <w:pPr>
                    <w:ind w:left="-4" w:leftChars="-14" w:hanging="25" w:hangingChars="12"/>
                    <w:jc w:val="center"/>
                    <w:rPr>
                      <w:rFonts w:hint="eastAsia" w:eastAsia="宋体"/>
                      <w:color w:val="FF0000"/>
                      <w:szCs w:val="21"/>
                      <w:lang w:eastAsia="zh-CN"/>
                    </w:rPr>
                  </w:pPr>
                  <w:r>
                    <w:rPr>
                      <w:rFonts w:hint="eastAsia"/>
                      <w:color w:val="FF0000"/>
                      <w:szCs w:val="21"/>
                    </w:rPr>
                    <w:t>46.</w:t>
                  </w:r>
                  <w:r>
                    <w:rPr>
                      <w:rFonts w:hint="eastAsia"/>
                      <w:color w:val="FF0000"/>
                      <w:szCs w:val="21"/>
                      <w:lang w:val="en-US" w:eastAsia="zh-CN"/>
                    </w:rPr>
                    <w:t>7</w:t>
                  </w:r>
                </w:p>
              </w:tc>
              <w:tc>
                <w:tcPr>
                  <w:tcW w:w="1317" w:type="dxa"/>
                  <w:vMerge w:val="continue"/>
                  <w:vAlign w:val="center"/>
                </w:tcPr>
                <w:p>
                  <w:pPr>
                    <w:spacing w:line="360" w:lineRule="auto"/>
                    <w:ind w:firstLine="480" w:firstLineChars="200"/>
                    <w:rPr>
                      <w:color w:val="FF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39" w:type="dxa"/>
                  <w:vAlign w:val="center"/>
                </w:tcPr>
                <w:p>
                  <w:pPr>
                    <w:ind w:left="-4" w:leftChars="-14" w:hanging="25" w:hangingChars="12"/>
                    <w:jc w:val="center"/>
                    <w:rPr>
                      <w:color w:val="FF0000"/>
                      <w:szCs w:val="21"/>
                    </w:rPr>
                  </w:pPr>
                  <w:r>
                    <w:rPr>
                      <w:color w:val="FF0000"/>
                      <w:szCs w:val="21"/>
                    </w:rPr>
                    <w:t>N3</w:t>
                  </w:r>
                  <w:r>
                    <w:rPr>
                      <w:rFonts w:hint="eastAsia"/>
                      <w:color w:val="FF0000"/>
                      <w:szCs w:val="21"/>
                    </w:rPr>
                    <w:t>西边界</w:t>
                  </w:r>
                </w:p>
              </w:tc>
              <w:tc>
                <w:tcPr>
                  <w:tcW w:w="1271" w:type="dxa"/>
                  <w:vMerge w:val="continue"/>
                  <w:vAlign w:val="center"/>
                </w:tcPr>
                <w:p>
                  <w:pPr>
                    <w:ind w:left="-4" w:leftChars="-14" w:hanging="25" w:hangingChars="12"/>
                    <w:jc w:val="center"/>
                    <w:rPr>
                      <w:color w:val="FF0000"/>
                      <w:szCs w:val="21"/>
                    </w:rPr>
                  </w:pPr>
                </w:p>
              </w:tc>
              <w:tc>
                <w:tcPr>
                  <w:tcW w:w="1430" w:type="dxa"/>
                  <w:vAlign w:val="center"/>
                </w:tcPr>
                <w:p>
                  <w:pPr>
                    <w:ind w:left="-4" w:leftChars="-14" w:hanging="25" w:hangingChars="12"/>
                    <w:jc w:val="center"/>
                    <w:rPr>
                      <w:rFonts w:hint="eastAsia" w:eastAsia="宋体"/>
                      <w:color w:val="FF0000"/>
                      <w:szCs w:val="21"/>
                      <w:lang w:eastAsia="zh-CN"/>
                    </w:rPr>
                  </w:pPr>
                  <w:r>
                    <w:rPr>
                      <w:color w:val="FF0000"/>
                      <w:szCs w:val="21"/>
                    </w:rPr>
                    <w:t>55</w:t>
                  </w:r>
                  <w:r>
                    <w:rPr>
                      <w:rFonts w:hint="eastAsia"/>
                      <w:color w:val="FF0000"/>
                      <w:szCs w:val="21"/>
                    </w:rPr>
                    <w:t>.</w:t>
                  </w:r>
                  <w:r>
                    <w:rPr>
                      <w:rFonts w:hint="eastAsia"/>
                      <w:color w:val="FF0000"/>
                      <w:szCs w:val="21"/>
                      <w:lang w:val="en-US" w:eastAsia="zh-CN"/>
                    </w:rPr>
                    <w:t>3</w:t>
                  </w:r>
                </w:p>
              </w:tc>
              <w:tc>
                <w:tcPr>
                  <w:tcW w:w="1269" w:type="dxa"/>
                  <w:vMerge w:val="continue"/>
                  <w:vAlign w:val="center"/>
                </w:tcPr>
                <w:p>
                  <w:pPr>
                    <w:ind w:left="-4" w:leftChars="-14" w:hanging="25" w:hangingChars="12"/>
                    <w:jc w:val="center"/>
                    <w:rPr>
                      <w:color w:val="FF0000"/>
                      <w:szCs w:val="21"/>
                    </w:rPr>
                  </w:pPr>
                </w:p>
              </w:tc>
              <w:tc>
                <w:tcPr>
                  <w:tcW w:w="1270" w:type="dxa"/>
                  <w:vAlign w:val="center"/>
                </w:tcPr>
                <w:p>
                  <w:pPr>
                    <w:ind w:left="-4" w:leftChars="-14" w:hanging="25" w:hangingChars="12"/>
                    <w:jc w:val="center"/>
                    <w:rPr>
                      <w:rFonts w:hint="eastAsia" w:eastAsia="宋体"/>
                      <w:color w:val="FF0000"/>
                      <w:szCs w:val="21"/>
                      <w:lang w:eastAsia="zh-CN"/>
                    </w:rPr>
                  </w:pPr>
                  <w:r>
                    <w:rPr>
                      <w:rFonts w:hint="eastAsia"/>
                      <w:color w:val="FF0000"/>
                      <w:szCs w:val="21"/>
                    </w:rPr>
                    <w:t>4</w:t>
                  </w:r>
                  <w:r>
                    <w:rPr>
                      <w:color w:val="FF0000"/>
                      <w:szCs w:val="21"/>
                    </w:rPr>
                    <w:t>3</w:t>
                  </w:r>
                  <w:r>
                    <w:rPr>
                      <w:rFonts w:hint="eastAsia"/>
                      <w:color w:val="FF0000"/>
                      <w:szCs w:val="21"/>
                    </w:rPr>
                    <w:t>.</w:t>
                  </w:r>
                  <w:r>
                    <w:rPr>
                      <w:rFonts w:hint="eastAsia"/>
                      <w:color w:val="FF0000"/>
                      <w:szCs w:val="21"/>
                      <w:lang w:val="en-US" w:eastAsia="zh-CN"/>
                    </w:rPr>
                    <w:t>7</w:t>
                  </w:r>
                </w:p>
              </w:tc>
              <w:tc>
                <w:tcPr>
                  <w:tcW w:w="1317" w:type="dxa"/>
                  <w:vMerge w:val="continue"/>
                  <w:vAlign w:val="center"/>
                </w:tcPr>
                <w:p>
                  <w:pPr>
                    <w:spacing w:line="360" w:lineRule="auto"/>
                    <w:ind w:firstLine="480" w:firstLineChars="200"/>
                    <w:rPr>
                      <w:color w:val="FF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39" w:type="dxa"/>
                  <w:vAlign w:val="center"/>
                </w:tcPr>
                <w:p>
                  <w:pPr>
                    <w:ind w:left="-4" w:leftChars="-14" w:hanging="25" w:hangingChars="12"/>
                    <w:jc w:val="center"/>
                    <w:rPr>
                      <w:color w:val="FF0000"/>
                      <w:szCs w:val="21"/>
                    </w:rPr>
                  </w:pPr>
                  <w:r>
                    <w:rPr>
                      <w:color w:val="FF0000"/>
                      <w:szCs w:val="21"/>
                    </w:rPr>
                    <w:t>N4</w:t>
                  </w:r>
                  <w:r>
                    <w:rPr>
                      <w:rFonts w:hint="eastAsia"/>
                      <w:color w:val="FF0000"/>
                      <w:szCs w:val="21"/>
                    </w:rPr>
                    <w:t>北边界</w:t>
                  </w:r>
                </w:p>
              </w:tc>
              <w:tc>
                <w:tcPr>
                  <w:tcW w:w="1271" w:type="dxa"/>
                  <w:vMerge w:val="continue"/>
                  <w:vAlign w:val="center"/>
                </w:tcPr>
                <w:p>
                  <w:pPr>
                    <w:ind w:left="-4" w:leftChars="-14" w:hanging="25" w:hangingChars="12"/>
                    <w:jc w:val="center"/>
                    <w:rPr>
                      <w:color w:val="FF0000"/>
                      <w:szCs w:val="21"/>
                    </w:rPr>
                  </w:pPr>
                </w:p>
              </w:tc>
              <w:tc>
                <w:tcPr>
                  <w:tcW w:w="1430" w:type="dxa"/>
                  <w:vAlign w:val="center"/>
                </w:tcPr>
                <w:p>
                  <w:pPr>
                    <w:ind w:left="-4" w:leftChars="-14" w:hanging="25" w:hangingChars="12"/>
                    <w:jc w:val="center"/>
                    <w:rPr>
                      <w:rFonts w:hint="eastAsia" w:eastAsia="宋体"/>
                      <w:color w:val="FF0000"/>
                      <w:szCs w:val="21"/>
                      <w:lang w:eastAsia="zh-CN"/>
                    </w:rPr>
                  </w:pPr>
                  <w:r>
                    <w:rPr>
                      <w:rFonts w:hint="eastAsia"/>
                      <w:color w:val="FF0000"/>
                      <w:szCs w:val="21"/>
                    </w:rPr>
                    <w:t>5</w:t>
                  </w:r>
                  <w:r>
                    <w:rPr>
                      <w:color w:val="FF0000"/>
                      <w:szCs w:val="21"/>
                    </w:rPr>
                    <w:t>7</w:t>
                  </w:r>
                  <w:r>
                    <w:rPr>
                      <w:rFonts w:hint="eastAsia"/>
                      <w:color w:val="FF0000"/>
                      <w:szCs w:val="21"/>
                    </w:rPr>
                    <w:t>.</w:t>
                  </w:r>
                  <w:r>
                    <w:rPr>
                      <w:rFonts w:hint="eastAsia"/>
                      <w:color w:val="FF0000"/>
                      <w:szCs w:val="21"/>
                      <w:lang w:val="en-US" w:eastAsia="zh-CN"/>
                    </w:rPr>
                    <w:t>6</w:t>
                  </w:r>
                </w:p>
              </w:tc>
              <w:tc>
                <w:tcPr>
                  <w:tcW w:w="1269" w:type="dxa"/>
                  <w:vMerge w:val="continue"/>
                  <w:vAlign w:val="center"/>
                </w:tcPr>
                <w:p>
                  <w:pPr>
                    <w:ind w:left="-4" w:leftChars="-14" w:hanging="25" w:hangingChars="12"/>
                    <w:jc w:val="center"/>
                    <w:rPr>
                      <w:color w:val="FF0000"/>
                      <w:szCs w:val="21"/>
                    </w:rPr>
                  </w:pPr>
                </w:p>
              </w:tc>
              <w:tc>
                <w:tcPr>
                  <w:tcW w:w="1270" w:type="dxa"/>
                  <w:vAlign w:val="center"/>
                </w:tcPr>
                <w:p>
                  <w:pPr>
                    <w:ind w:left="-4" w:leftChars="-14" w:hanging="25" w:hangingChars="12"/>
                    <w:jc w:val="center"/>
                    <w:rPr>
                      <w:rFonts w:hint="eastAsia" w:eastAsia="宋体"/>
                      <w:color w:val="FF0000"/>
                      <w:szCs w:val="21"/>
                      <w:lang w:eastAsia="zh-CN"/>
                    </w:rPr>
                  </w:pPr>
                  <w:r>
                    <w:rPr>
                      <w:rFonts w:hint="eastAsia"/>
                      <w:color w:val="FF0000"/>
                      <w:szCs w:val="21"/>
                    </w:rPr>
                    <w:t>4</w:t>
                  </w:r>
                  <w:r>
                    <w:rPr>
                      <w:color w:val="FF0000"/>
                      <w:szCs w:val="21"/>
                    </w:rPr>
                    <w:t>6</w:t>
                  </w:r>
                  <w:r>
                    <w:rPr>
                      <w:rFonts w:hint="eastAsia"/>
                      <w:color w:val="FF0000"/>
                      <w:szCs w:val="21"/>
                    </w:rPr>
                    <w:t>.</w:t>
                  </w:r>
                  <w:r>
                    <w:rPr>
                      <w:rFonts w:hint="eastAsia"/>
                      <w:color w:val="FF0000"/>
                      <w:szCs w:val="21"/>
                      <w:lang w:val="en-US" w:eastAsia="zh-CN"/>
                    </w:rPr>
                    <w:t>5</w:t>
                  </w:r>
                </w:p>
              </w:tc>
              <w:tc>
                <w:tcPr>
                  <w:tcW w:w="1317" w:type="dxa"/>
                  <w:vMerge w:val="continue"/>
                  <w:vAlign w:val="center"/>
                </w:tcPr>
                <w:p>
                  <w:pPr>
                    <w:spacing w:line="360" w:lineRule="auto"/>
                    <w:ind w:firstLine="480" w:firstLineChars="200"/>
                    <w:rPr>
                      <w:color w:val="FF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39" w:type="dxa"/>
                  <w:vAlign w:val="center"/>
                </w:tcPr>
                <w:p>
                  <w:pPr>
                    <w:ind w:left="-4" w:leftChars="-14" w:hanging="25" w:hangingChars="12"/>
                    <w:jc w:val="center"/>
                    <w:rPr>
                      <w:color w:val="FF0000"/>
                      <w:szCs w:val="21"/>
                    </w:rPr>
                  </w:pPr>
                  <w:r>
                    <w:rPr>
                      <w:color w:val="FF0000"/>
                      <w:szCs w:val="21"/>
                    </w:rPr>
                    <w:t>N1</w:t>
                  </w:r>
                  <w:r>
                    <w:rPr>
                      <w:rFonts w:hint="eastAsia"/>
                      <w:color w:val="FF0000"/>
                      <w:szCs w:val="21"/>
                    </w:rPr>
                    <w:t>东边界</w:t>
                  </w:r>
                </w:p>
              </w:tc>
              <w:tc>
                <w:tcPr>
                  <w:tcW w:w="1271" w:type="dxa"/>
                  <w:vMerge w:val="restart"/>
                  <w:vAlign w:val="center"/>
                </w:tcPr>
                <w:p>
                  <w:pPr>
                    <w:ind w:left="-4" w:leftChars="-14" w:hanging="25" w:hangingChars="12"/>
                    <w:jc w:val="center"/>
                    <w:rPr>
                      <w:color w:val="FF0000"/>
                      <w:szCs w:val="21"/>
                    </w:rPr>
                  </w:pPr>
                  <w:r>
                    <w:rPr>
                      <w:color w:val="FF0000"/>
                      <w:szCs w:val="21"/>
                    </w:rPr>
                    <w:t>201</w:t>
                  </w:r>
                  <w:r>
                    <w:rPr>
                      <w:rFonts w:hint="eastAsia"/>
                      <w:color w:val="FF0000"/>
                      <w:szCs w:val="21"/>
                      <w:lang w:val="en-US" w:eastAsia="zh-CN"/>
                    </w:rPr>
                    <w:t>9-06-18</w:t>
                  </w:r>
                </w:p>
              </w:tc>
              <w:tc>
                <w:tcPr>
                  <w:tcW w:w="1430" w:type="dxa"/>
                  <w:vAlign w:val="center"/>
                </w:tcPr>
                <w:p>
                  <w:pPr>
                    <w:ind w:left="-4" w:leftChars="-14" w:hanging="25" w:hangingChars="12"/>
                    <w:jc w:val="center"/>
                    <w:rPr>
                      <w:rFonts w:hint="eastAsia" w:eastAsia="宋体"/>
                      <w:color w:val="FF0000"/>
                      <w:szCs w:val="21"/>
                      <w:lang w:eastAsia="zh-CN"/>
                    </w:rPr>
                  </w:pPr>
                  <w:r>
                    <w:rPr>
                      <w:color w:val="FF0000"/>
                      <w:szCs w:val="21"/>
                    </w:rPr>
                    <w:t>59.</w:t>
                  </w:r>
                  <w:r>
                    <w:rPr>
                      <w:rFonts w:hint="eastAsia"/>
                      <w:color w:val="FF0000"/>
                      <w:szCs w:val="21"/>
                      <w:lang w:val="en-US" w:eastAsia="zh-CN"/>
                    </w:rPr>
                    <w:t>3</w:t>
                  </w:r>
                </w:p>
              </w:tc>
              <w:tc>
                <w:tcPr>
                  <w:tcW w:w="1269" w:type="dxa"/>
                  <w:vMerge w:val="restart"/>
                  <w:vAlign w:val="center"/>
                </w:tcPr>
                <w:p>
                  <w:pPr>
                    <w:ind w:left="-4" w:leftChars="-14" w:hanging="25" w:hangingChars="12"/>
                    <w:jc w:val="center"/>
                    <w:rPr>
                      <w:color w:val="FF0000"/>
                      <w:szCs w:val="21"/>
                    </w:rPr>
                  </w:pPr>
                  <w:r>
                    <w:rPr>
                      <w:rFonts w:hint="eastAsia"/>
                      <w:color w:val="FF0000"/>
                      <w:szCs w:val="21"/>
                    </w:rPr>
                    <w:t>60</w:t>
                  </w:r>
                </w:p>
              </w:tc>
              <w:tc>
                <w:tcPr>
                  <w:tcW w:w="1270" w:type="dxa"/>
                  <w:vAlign w:val="center"/>
                </w:tcPr>
                <w:p>
                  <w:pPr>
                    <w:ind w:left="-4" w:leftChars="-14" w:hanging="25" w:hangingChars="12"/>
                    <w:jc w:val="center"/>
                    <w:rPr>
                      <w:rFonts w:hint="eastAsia" w:eastAsia="宋体"/>
                      <w:color w:val="FF0000"/>
                      <w:szCs w:val="21"/>
                      <w:lang w:eastAsia="zh-CN"/>
                    </w:rPr>
                  </w:pPr>
                  <w:r>
                    <w:rPr>
                      <w:color w:val="FF0000"/>
                      <w:szCs w:val="21"/>
                    </w:rPr>
                    <w:t>47.</w:t>
                  </w:r>
                  <w:r>
                    <w:rPr>
                      <w:rFonts w:hint="eastAsia"/>
                      <w:color w:val="FF0000"/>
                      <w:szCs w:val="21"/>
                      <w:lang w:val="en-US" w:eastAsia="zh-CN"/>
                    </w:rPr>
                    <w:t>6</w:t>
                  </w:r>
                </w:p>
              </w:tc>
              <w:tc>
                <w:tcPr>
                  <w:tcW w:w="1317" w:type="dxa"/>
                  <w:vMerge w:val="restart"/>
                  <w:vAlign w:val="center"/>
                </w:tcPr>
                <w:p>
                  <w:pPr>
                    <w:spacing w:line="360" w:lineRule="auto"/>
                    <w:ind w:firstLine="420" w:firstLineChars="200"/>
                    <w:rPr>
                      <w:color w:val="FF0000"/>
                      <w:sz w:val="24"/>
                    </w:rPr>
                  </w:pPr>
                  <w:r>
                    <w:rPr>
                      <w:rFonts w:hint="eastAsia"/>
                      <w:color w:val="FF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39" w:type="dxa"/>
                  <w:vAlign w:val="center"/>
                </w:tcPr>
                <w:p>
                  <w:pPr>
                    <w:ind w:left="-4" w:leftChars="-14" w:hanging="25" w:hangingChars="12"/>
                    <w:jc w:val="center"/>
                    <w:rPr>
                      <w:color w:val="FF0000"/>
                      <w:szCs w:val="21"/>
                    </w:rPr>
                  </w:pPr>
                  <w:r>
                    <w:rPr>
                      <w:color w:val="FF0000"/>
                      <w:szCs w:val="21"/>
                    </w:rPr>
                    <w:t>N2</w:t>
                  </w:r>
                  <w:r>
                    <w:rPr>
                      <w:rFonts w:hint="eastAsia"/>
                      <w:color w:val="FF0000"/>
                      <w:szCs w:val="21"/>
                    </w:rPr>
                    <w:t>南边界</w:t>
                  </w:r>
                </w:p>
              </w:tc>
              <w:tc>
                <w:tcPr>
                  <w:tcW w:w="1271" w:type="dxa"/>
                  <w:vMerge w:val="continue"/>
                  <w:vAlign w:val="center"/>
                </w:tcPr>
                <w:p>
                  <w:pPr>
                    <w:ind w:left="-4" w:leftChars="-14" w:hanging="25" w:hangingChars="12"/>
                    <w:jc w:val="center"/>
                    <w:rPr>
                      <w:color w:val="FF0000"/>
                      <w:szCs w:val="21"/>
                    </w:rPr>
                  </w:pPr>
                </w:p>
              </w:tc>
              <w:tc>
                <w:tcPr>
                  <w:tcW w:w="1430" w:type="dxa"/>
                  <w:vAlign w:val="center"/>
                </w:tcPr>
                <w:p>
                  <w:pPr>
                    <w:ind w:left="-4" w:leftChars="-14" w:hanging="25" w:hangingChars="12"/>
                    <w:jc w:val="center"/>
                    <w:rPr>
                      <w:rFonts w:hint="eastAsia" w:eastAsia="宋体"/>
                      <w:color w:val="FF0000"/>
                      <w:szCs w:val="21"/>
                      <w:lang w:eastAsia="zh-CN"/>
                    </w:rPr>
                  </w:pPr>
                  <w:r>
                    <w:rPr>
                      <w:rFonts w:hint="eastAsia"/>
                      <w:color w:val="FF0000"/>
                      <w:szCs w:val="21"/>
                    </w:rPr>
                    <w:t>5</w:t>
                  </w:r>
                  <w:r>
                    <w:rPr>
                      <w:color w:val="FF0000"/>
                      <w:szCs w:val="21"/>
                    </w:rPr>
                    <w:t>8</w:t>
                  </w:r>
                  <w:r>
                    <w:rPr>
                      <w:rFonts w:hint="eastAsia"/>
                      <w:color w:val="FF0000"/>
                      <w:szCs w:val="21"/>
                    </w:rPr>
                    <w:t>.</w:t>
                  </w:r>
                  <w:r>
                    <w:rPr>
                      <w:rFonts w:hint="eastAsia"/>
                      <w:color w:val="FF0000"/>
                      <w:szCs w:val="21"/>
                      <w:lang w:val="en-US" w:eastAsia="zh-CN"/>
                    </w:rPr>
                    <w:t>2</w:t>
                  </w:r>
                </w:p>
              </w:tc>
              <w:tc>
                <w:tcPr>
                  <w:tcW w:w="1269" w:type="dxa"/>
                  <w:vMerge w:val="continue"/>
                  <w:vAlign w:val="center"/>
                </w:tcPr>
                <w:p>
                  <w:pPr>
                    <w:ind w:left="-4" w:leftChars="-14" w:hanging="25" w:hangingChars="12"/>
                    <w:jc w:val="center"/>
                    <w:rPr>
                      <w:color w:val="FF0000"/>
                      <w:szCs w:val="21"/>
                    </w:rPr>
                  </w:pPr>
                </w:p>
              </w:tc>
              <w:tc>
                <w:tcPr>
                  <w:tcW w:w="1270" w:type="dxa"/>
                  <w:vAlign w:val="center"/>
                </w:tcPr>
                <w:p>
                  <w:pPr>
                    <w:ind w:left="-4" w:leftChars="-14" w:hanging="25" w:hangingChars="12"/>
                    <w:jc w:val="center"/>
                    <w:rPr>
                      <w:rFonts w:hint="eastAsia" w:eastAsia="宋体"/>
                      <w:color w:val="FF0000"/>
                      <w:szCs w:val="21"/>
                      <w:lang w:eastAsia="zh-CN"/>
                    </w:rPr>
                  </w:pPr>
                  <w:r>
                    <w:rPr>
                      <w:rFonts w:hint="eastAsia"/>
                      <w:color w:val="FF0000"/>
                      <w:szCs w:val="21"/>
                    </w:rPr>
                    <w:t>46.</w:t>
                  </w:r>
                  <w:r>
                    <w:rPr>
                      <w:rFonts w:hint="eastAsia"/>
                      <w:color w:val="FF0000"/>
                      <w:szCs w:val="21"/>
                      <w:lang w:val="en-US" w:eastAsia="zh-CN"/>
                    </w:rPr>
                    <w:t>5</w:t>
                  </w:r>
                </w:p>
              </w:tc>
              <w:tc>
                <w:tcPr>
                  <w:tcW w:w="1317" w:type="dxa"/>
                  <w:vMerge w:val="continue"/>
                  <w:vAlign w:val="center"/>
                </w:tcPr>
                <w:p>
                  <w:pPr>
                    <w:spacing w:line="360" w:lineRule="auto"/>
                    <w:ind w:firstLine="480" w:firstLineChars="200"/>
                    <w:rPr>
                      <w:color w:val="FF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39" w:type="dxa"/>
                  <w:vAlign w:val="center"/>
                </w:tcPr>
                <w:p>
                  <w:pPr>
                    <w:ind w:left="-4" w:leftChars="-14" w:hanging="25" w:hangingChars="12"/>
                    <w:jc w:val="center"/>
                    <w:rPr>
                      <w:color w:val="FF0000"/>
                      <w:szCs w:val="21"/>
                    </w:rPr>
                  </w:pPr>
                  <w:r>
                    <w:rPr>
                      <w:color w:val="FF0000"/>
                      <w:szCs w:val="21"/>
                    </w:rPr>
                    <w:t>N3</w:t>
                  </w:r>
                  <w:r>
                    <w:rPr>
                      <w:rFonts w:hint="eastAsia"/>
                      <w:color w:val="FF0000"/>
                      <w:szCs w:val="21"/>
                    </w:rPr>
                    <w:t>西边界</w:t>
                  </w:r>
                </w:p>
              </w:tc>
              <w:tc>
                <w:tcPr>
                  <w:tcW w:w="1271" w:type="dxa"/>
                  <w:vMerge w:val="continue"/>
                  <w:vAlign w:val="center"/>
                </w:tcPr>
                <w:p>
                  <w:pPr>
                    <w:ind w:left="-4" w:leftChars="-14" w:hanging="25" w:hangingChars="12"/>
                    <w:jc w:val="center"/>
                    <w:rPr>
                      <w:color w:val="FF0000"/>
                      <w:szCs w:val="21"/>
                    </w:rPr>
                  </w:pPr>
                </w:p>
              </w:tc>
              <w:tc>
                <w:tcPr>
                  <w:tcW w:w="1430" w:type="dxa"/>
                  <w:vAlign w:val="center"/>
                </w:tcPr>
                <w:p>
                  <w:pPr>
                    <w:ind w:left="-4" w:leftChars="-14" w:hanging="25" w:hangingChars="12"/>
                    <w:jc w:val="center"/>
                    <w:rPr>
                      <w:rFonts w:hint="eastAsia" w:eastAsia="宋体"/>
                      <w:color w:val="FF0000"/>
                      <w:szCs w:val="21"/>
                      <w:lang w:eastAsia="zh-CN"/>
                    </w:rPr>
                  </w:pPr>
                  <w:r>
                    <w:rPr>
                      <w:color w:val="FF0000"/>
                      <w:szCs w:val="21"/>
                    </w:rPr>
                    <w:t>5</w:t>
                  </w:r>
                  <w:r>
                    <w:rPr>
                      <w:rFonts w:hint="eastAsia"/>
                      <w:color w:val="FF0000"/>
                      <w:szCs w:val="21"/>
                      <w:lang w:val="en-US" w:eastAsia="zh-CN"/>
                    </w:rPr>
                    <w:t>4</w:t>
                  </w:r>
                  <w:r>
                    <w:rPr>
                      <w:rFonts w:hint="eastAsia"/>
                      <w:color w:val="FF0000"/>
                      <w:szCs w:val="21"/>
                    </w:rPr>
                    <w:t>.</w:t>
                  </w:r>
                  <w:r>
                    <w:rPr>
                      <w:rFonts w:hint="eastAsia"/>
                      <w:color w:val="FF0000"/>
                      <w:szCs w:val="21"/>
                      <w:lang w:val="en-US" w:eastAsia="zh-CN"/>
                    </w:rPr>
                    <w:t>7</w:t>
                  </w:r>
                </w:p>
              </w:tc>
              <w:tc>
                <w:tcPr>
                  <w:tcW w:w="1269" w:type="dxa"/>
                  <w:vMerge w:val="continue"/>
                  <w:vAlign w:val="center"/>
                </w:tcPr>
                <w:p>
                  <w:pPr>
                    <w:ind w:left="-4" w:leftChars="-14" w:hanging="25" w:hangingChars="12"/>
                    <w:jc w:val="center"/>
                    <w:rPr>
                      <w:color w:val="FF0000"/>
                      <w:szCs w:val="21"/>
                    </w:rPr>
                  </w:pPr>
                </w:p>
              </w:tc>
              <w:tc>
                <w:tcPr>
                  <w:tcW w:w="1270" w:type="dxa"/>
                  <w:vAlign w:val="center"/>
                </w:tcPr>
                <w:p>
                  <w:pPr>
                    <w:ind w:left="-4" w:leftChars="-14" w:hanging="25" w:hangingChars="12"/>
                    <w:jc w:val="center"/>
                    <w:rPr>
                      <w:rFonts w:hint="eastAsia"/>
                      <w:color w:val="FF0000"/>
                      <w:szCs w:val="21"/>
                    </w:rPr>
                  </w:pPr>
                  <w:r>
                    <w:rPr>
                      <w:rFonts w:hint="eastAsia"/>
                      <w:color w:val="FF0000"/>
                      <w:szCs w:val="21"/>
                    </w:rPr>
                    <w:t>4</w:t>
                  </w:r>
                  <w:r>
                    <w:rPr>
                      <w:rFonts w:hint="eastAsia"/>
                      <w:color w:val="FF0000"/>
                      <w:szCs w:val="21"/>
                      <w:lang w:val="en-US" w:eastAsia="zh-CN"/>
                    </w:rPr>
                    <w:t>4.2</w:t>
                  </w:r>
                </w:p>
              </w:tc>
              <w:tc>
                <w:tcPr>
                  <w:tcW w:w="1317" w:type="dxa"/>
                  <w:vMerge w:val="continue"/>
                  <w:vAlign w:val="center"/>
                </w:tcPr>
                <w:p>
                  <w:pPr>
                    <w:spacing w:line="360" w:lineRule="auto"/>
                    <w:ind w:firstLine="480" w:firstLineChars="200"/>
                    <w:rPr>
                      <w:color w:val="FF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739" w:type="dxa"/>
                  <w:vAlign w:val="center"/>
                </w:tcPr>
                <w:p>
                  <w:pPr>
                    <w:ind w:left="-4" w:leftChars="-14" w:hanging="25" w:hangingChars="12"/>
                    <w:jc w:val="center"/>
                    <w:rPr>
                      <w:color w:val="FF0000"/>
                      <w:szCs w:val="21"/>
                    </w:rPr>
                  </w:pPr>
                  <w:r>
                    <w:rPr>
                      <w:color w:val="FF0000"/>
                      <w:szCs w:val="21"/>
                    </w:rPr>
                    <w:t>N4</w:t>
                  </w:r>
                  <w:r>
                    <w:rPr>
                      <w:rFonts w:hint="eastAsia"/>
                      <w:color w:val="FF0000"/>
                      <w:szCs w:val="21"/>
                    </w:rPr>
                    <w:t>北边界</w:t>
                  </w:r>
                </w:p>
              </w:tc>
              <w:tc>
                <w:tcPr>
                  <w:tcW w:w="1271" w:type="dxa"/>
                  <w:vMerge w:val="continue"/>
                  <w:vAlign w:val="center"/>
                </w:tcPr>
                <w:p>
                  <w:pPr>
                    <w:ind w:left="-4" w:leftChars="-14" w:hanging="25" w:hangingChars="12"/>
                    <w:jc w:val="center"/>
                    <w:rPr>
                      <w:color w:val="FF0000"/>
                      <w:szCs w:val="21"/>
                    </w:rPr>
                  </w:pPr>
                </w:p>
              </w:tc>
              <w:tc>
                <w:tcPr>
                  <w:tcW w:w="1430" w:type="dxa"/>
                  <w:vAlign w:val="center"/>
                </w:tcPr>
                <w:p>
                  <w:pPr>
                    <w:ind w:left="-4" w:leftChars="-14" w:hanging="25" w:hangingChars="12"/>
                    <w:jc w:val="center"/>
                    <w:rPr>
                      <w:rFonts w:hint="eastAsia" w:eastAsia="宋体"/>
                      <w:color w:val="FF0000"/>
                      <w:szCs w:val="21"/>
                      <w:lang w:eastAsia="zh-CN"/>
                    </w:rPr>
                  </w:pPr>
                  <w:r>
                    <w:rPr>
                      <w:rFonts w:hint="eastAsia"/>
                      <w:color w:val="FF0000"/>
                      <w:szCs w:val="21"/>
                    </w:rPr>
                    <w:t>5</w:t>
                  </w:r>
                  <w:r>
                    <w:rPr>
                      <w:color w:val="FF0000"/>
                      <w:szCs w:val="21"/>
                    </w:rPr>
                    <w:t>7</w:t>
                  </w:r>
                  <w:r>
                    <w:rPr>
                      <w:rFonts w:hint="eastAsia"/>
                      <w:color w:val="FF0000"/>
                      <w:szCs w:val="21"/>
                    </w:rPr>
                    <w:t>.</w:t>
                  </w:r>
                  <w:r>
                    <w:rPr>
                      <w:rFonts w:hint="eastAsia"/>
                      <w:color w:val="FF0000"/>
                      <w:szCs w:val="21"/>
                      <w:lang w:val="en-US" w:eastAsia="zh-CN"/>
                    </w:rPr>
                    <w:t>9</w:t>
                  </w:r>
                </w:p>
              </w:tc>
              <w:tc>
                <w:tcPr>
                  <w:tcW w:w="1269" w:type="dxa"/>
                  <w:vMerge w:val="continue"/>
                  <w:vAlign w:val="center"/>
                </w:tcPr>
                <w:p>
                  <w:pPr>
                    <w:ind w:left="-4" w:leftChars="-14" w:hanging="25" w:hangingChars="12"/>
                    <w:jc w:val="center"/>
                    <w:rPr>
                      <w:color w:val="FF0000"/>
                      <w:szCs w:val="21"/>
                    </w:rPr>
                  </w:pPr>
                </w:p>
              </w:tc>
              <w:tc>
                <w:tcPr>
                  <w:tcW w:w="1270" w:type="dxa"/>
                  <w:vAlign w:val="center"/>
                </w:tcPr>
                <w:p>
                  <w:pPr>
                    <w:ind w:left="-4" w:leftChars="-14" w:hanging="25" w:hangingChars="12"/>
                    <w:jc w:val="center"/>
                    <w:rPr>
                      <w:rFonts w:hint="eastAsia" w:eastAsia="宋体"/>
                      <w:color w:val="FF0000"/>
                      <w:szCs w:val="21"/>
                      <w:lang w:eastAsia="zh-CN"/>
                    </w:rPr>
                  </w:pPr>
                  <w:r>
                    <w:rPr>
                      <w:rFonts w:hint="eastAsia"/>
                      <w:color w:val="FF0000"/>
                      <w:szCs w:val="21"/>
                    </w:rPr>
                    <w:t>4</w:t>
                  </w:r>
                  <w:r>
                    <w:rPr>
                      <w:color w:val="FF0000"/>
                      <w:szCs w:val="21"/>
                    </w:rPr>
                    <w:t>6</w:t>
                  </w:r>
                  <w:r>
                    <w:rPr>
                      <w:rFonts w:hint="eastAsia"/>
                      <w:color w:val="FF0000"/>
                      <w:szCs w:val="21"/>
                    </w:rPr>
                    <w:t>.</w:t>
                  </w:r>
                  <w:r>
                    <w:rPr>
                      <w:rFonts w:hint="eastAsia"/>
                      <w:color w:val="FF0000"/>
                      <w:szCs w:val="21"/>
                      <w:lang w:val="en-US" w:eastAsia="zh-CN"/>
                    </w:rPr>
                    <w:t>8</w:t>
                  </w:r>
                </w:p>
              </w:tc>
              <w:tc>
                <w:tcPr>
                  <w:tcW w:w="1317" w:type="dxa"/>
                  <w:vMerge w:val="continue"/>
                  <w:vAlign w:val="center"/>
                </w:tcPr>
                <w:p>
                  <w:pPr>
                    <w:spacing w:line="360" w:lineRule="auto"/>
                    <w:ind w:firstLine="480" w:firstLineChars="200"/>
                    <w:rPr>
                      <w:color w:val="FF0000"/>
                      <w:sz w:val="24"/>
                    </w:rPr>
                  </w:pPr>
                </w:p>
              </w:tc>
            </w:tr>
          </w:tbl>
          <w:p>
            <w:pPr>
              <w:spacing w:line="360" w:lineRule="auto"/>
              <w:ind w:firstLine="480" w:firstLineChars="200"/>
            </w:pPr>
            <w:r>
              <w:rPr>
                <w:rFonts w:hint="eastAsia"/>
                <w:sz w:val="24"/>
                <w:lang w:val="zh-CN"/>
              </w:rPr>
              <w:t>从上表的监测结果可知，厂界四个监测点昼、夜间环境噪声均符合《声环境质量标准》</w:t>
            </w:r>
            <w:r>
              <w:rPr>
                <w:sz w:val="24"/>
                <w:lang w:val="zh-CN"/>
              </w:rPr>
              <w:t>(GB3096</w:t>
            </w:r>
            <w:r>
              <w:rPr>
                <w:rFonts w:hint="eastAsia"/>
                <w:sz w:val="24"/>
                <w:lang w:val="zh-CN"/>
              </w:rPr>
              <w:t>－</w:t>
            </w:r>
            <w:r>
              <w:rPr>
                <w:sz w:val="24"/>
                <w:lang w:val="zh-CN"/>
              </w:rPr>
              <w:t>2008)</w:t>
            </w:r>
            <w:r>
              <w:rPr>
                <w:rFonts w:hint="eastAsia"/>
                <w:sz w:val="24"/>
                <w:lang w:val="zh-CN"/>
              </w:rPr>
              <w:t>的</w:t>
            </w:r>
            <w:r>
              <w:rPr>
                <w:sz w:val="24"/>
              </w:rPr>
              <w:t>2</w:t>
            </w:r>
            <w:r>
              <w:rPr>
                <w:rFonts w:hint="eastAsia"/>
                <w:sz w:val="24"/>
                <w:lang w:val="zh-CN"/>
              </w:rPr>
              <w:t>类标准要求。建设项目所在区域声环境质量现状良好。</w:t>
            </w:r>
          </w:p>
        </w:tc>
      </w:tr>
    </w:tbl>
    <w:p>
      <w:pPr>
        <w:sectPr>
          <w:pgSz w:w="11906" w:h="16838"/>
          <w:pgMar w:top="1440" w:right="1800" w:bottom="1440" w:left="1800" w:header="851" w:footer="992" w:gutter="0"/>
          <w:pgNumType w:fmt="decimal"/>
          <w:cols w:space="425" w:num="1"/>
          <w:docGrid w:type="lines" w:linePitch="312" w:charSpace="0"/>
        </w:sectPr>
      </w:pP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8522" w:type="dxa"/>
          </w:tcPr>
          <w:p>
            <w:pPr>
              <w:tabs>
                <w:tab w:val="left" w:pos="0"/>
              </w:tabs>
              <w:snapToGrid w:val="0"/>
              <w:spacing w:line="360" w:lineRule="auto"/>
              <w:rPr>
                <w:sz w:val="30"/>
              </w:rPr>
            </w:pPr>
            <w:r>
              <w:rPr>
                <w:sz w:val="30"/>
              </w:rPr>
              <w:br w:type="page"/>
            </w:r>
            <w:r>
              <w:rPr>
                <w:rFonts w:hint="eastAsia"/>
                <w:b/>
                <w:bCs/>
                <w:sz w:val="30"/>
              </w:rPr>
              <w:t>主要环境保护目标（列出名单及保护级别）：</w:t>
            </w:r>
          </w:p>
          <w:p>
            <w:pPr>
              <w:adjustRightInd w:val="0"/>
              <w:snapToGrid w:val="0"/>
              <w:spacing w:line="360" w:lineRule="auto"/>
              <w:ind w:firstLine="482" w:firstLineChars="200"/>
              <w:rPr>
                <w:b/>
                <w:sz w:val="24"/>
              </w:rPr>
            </w:pPr>
            <w:r>
              <w:rPr>
                <w:b/>
                <w:sz w:val="24"/>
              </w:rPr>
              <w:t>1</w:t>
            </w:r>
            <w:r>
              <w:rPr>
                <w:rFonts w:hint="eastAsia"/>
                <w:b/>
                <w:sz w:val="24"/>
              </w:rPr>
              <w:t>、水环境保护目标</w:t>
            </w:r>
          </w:p>
          <w:p>
            <w:pPr>
              <w:spacing w:line="360" w:lineRule="auto"/>
              <w:ind w:firstLine="480" w:firstLineChars="200"/>
              <w:rPr>
                <w:sz w:val="24"/>
                <w:lang w:val="zh-CN"/>
              </w:rPr>
            </w:pPr>
            <w:r>
              <w:rPr>
                <w:sz w:val="24"/>
              </w:rPr>
              <w:t>本项目需控制外排污水中主要污染物COD</w:t>
            </w:r>
            <w:r>
              <w:rPr>
                <w:sz w:val="24"/>
                <w:vertAlign w:val="subscript"/>
              </w:rPr>
              <w:t>cr</w:t>
            </w:r>
            <w:r>
              <w:rPr>
                <w:sz w:val="24"/>
              </w:rPr>
              <w:t>、BOD</w:t>
            </w:r>
            <w:r>
              <w:rPr>
                <w:sz w:val="24"/>
                <w:vertAlign w:val="subscript"/>
              </w:rPr>
              <w:t>5</w:t>
            </w:r>
            <w:r>
              <w:rPr>
                <w:sz w:val="24"/>
              </w:rPr>
              <w:t>、SS、</w:t>
            </w:r>
            <w:r>
              <w:rPr>
                <w:rFonts w:hint="eastAsia"/>
                <w:sz w:val="24"/>
              </w:rPr>
              <w:t>氨氮</w:t>
            </w:r>
            <w:r>
              <w:rPr>
                <w:sz w:val="24"/>
              </w:rPr>
              <w:t>等的排放。水环境保护目标是保护项目所在区域水环境质量，使纳污水体水质不因本项目的建设而继续恶化。</w:t>
            </w:r>
          </w:p>
          <w:p>
            <w:pPr>
              <w:adjustRightInd w:val="0"/>
              <w:snapToGrid w:val="0"/>
              <w:spacing w:line="360" w:lineRule="auto"/>
              <w:ind w:firstLine="482" w:firstLineChars="200"/>
              <w:rPr>
                <w:b/>
                <w:sz w:val="24"/>
              </w:rPr>
            </w:pPr>
            <w:r>
              <w:rPr>
                <w:b/>
                <w:sz w:val="24"/>
              </w:rPr>
              <w:t>2</w:t>
            </w:r>
            <w:r>
              <w:rPr>
                <w:rFonts w:hint="eastAsia"/>
                <w:b/>
                <w:sz w:val="24"/>
              </w:rPr>
              <w:t>、大气环境保护目标</w:t>
            </w:r>
          </w:p>
          <w:p>
            <w:pPr>
              <w:tabs>
                <w:tab w:val="left" w:pos="0"/>
              </w:tabs>
              <w:snapToGrid w:val="0"/>
              <w:spacing w:line="360" w:lineRule="auto"/>
              <w:ind w:firstLine="480" w:firstLineChars="200"/>
              <w:rPr>
                <w:sz w:val="24"/>
                <w:lang w:val="zh-CN"/>
              </w:rPr>
            </w:pPr>
            <w:r>
              <w:rPr>
                <w:sz w:val="24"/>
              </w:rPr>
              <w:t>大气环境保护目标是使周围地区的大气环境在本项目运行时不受明显的影响，保护评价区的大气环境符合《环境空气质量标准》（GB3095-2012）二级标准</w:t>
            </w:r>
            <w:r>
              <w:rPr>
                <w:color w:val="000000"/>
                <w:sz w:val="24"/>
              </w:rPr>
              <w:t>及2018年修改单要求</w:t>
            </w:r>
            <w:r>
              <w:rPr>
                <w:sz w:val="24"/>
              </w:rPr>
              <w:t>。</w:t>
            </w:r>
          </w:p>
          <w:p>
            <w:pPr>
              <w:adjustRightInd w:val="0"/>
              <w:snapToGrid w:val="0"/>
              <w:spacing w:line="360" w:lineRule="auto"/>
              <w:ind w:firstLine="482" w:firstLineChars="200"/>
              <w:rPr>
                <w:b/>
                <w:sz w:val="24"/>
              </w:rPr>
            </w:pPr>
            <w:r>
              <w:rPr>
                <w:b/>
                <w:sz w:val="24"/>
              </w:rPr>
              <w:t>3</w:t>
            </w:r>
            <w:r>
              <w:rPr>
                <w:rFonts w:hint="eastAsia"/>
                <w:b/>
                <w:sz w:val="24"/>
              </w:rPr>
              <w:t>、声环境保护目标</w:t>
            </w:r>
          </w:p>
          <w:p>
            <w:pPr>
              <w:tabs>
                <w:tab w:val="left" w:pos="0"/>
              </w:tabs>
              <w:snapToGrid w:val="0"/>
              <w:spacing w:line="360" w:lineRule="auto"/>
              <w:ind w:firstLine="480" w:firstLineChars="200"/>
              <w:rPr>
                <w:sz w:val="24"/>
                <w:lang w:val="zh-CN"/>
              </w:rPr>
            </w:pPr>
            <w:r>
              <w:rPr>
                <w:sz w:val="24"/>
              </w:rPr>
              <w:t>声环境保护目标是确保该项目运转后周围有一个安静、舒适的工作及生活环境，使项目各边界达到《声环境质量标准》（GB3096-2008）</w:t>
            </w:r>
            <w:r>
              <w:rPr>
                <w:rFonts w:hint="eastAsia"/>
                <w:sz w:val="24"/>
              </w:rPr>
              <w:t>2</w:t>
            </w:r>
            <w:r>
              <w:rPr>
                <w:sz w:val="24"/>
              </w:rPr>
              <w:t>类区标准，确保项目的营运不改变所在区域声环境质量现状</w:t>
            </w:r>
            <w:r>
              <w:rPr>
                <w:rFonts w:hint="eastAsia"/>
                <w:sz w:val="24"/>
                <w:lang w:val="zh-CN"/>
              </w:rPr>
              <w:t>。</w:t>
            </w:r>
          </w:p>
          <w:p>
            <w:pPr>
              <w:spacing w:line="360" w:lineRule="auto"/>
              <w:ind w:firstLine="482" w:firstLineChars="200"/>
              <w:rPr>
                <w:b/>
                <w:bCs/>
                <w:sz w:val="24"/>
              </w:rPr>
            </w:pPr>
            <w:r>
              <w:rPr>
                <w:b/>
                <w:bCs/>
                <w:sz w:val="24"/>
              </w:rPr>
              <w:t>4、固体废物保护目标</w:t>
            </w:r>
          </w:p>
          <w:p>
            <w:pPr>
              <w:spacing w:line="360" w:lineRule="auto"/>
              <w:ind w:firstLine="480" w:firstLineChars="200"/>
              <w:rPr>
                <w:sz w:val="24"/>
              </w:rPr>
            </w:pPr>
            <w:r>
              <w:rPr>
                <w:sz w:val="24"/>
              </w:rPr>
              <w:t>固体废物保护目标是妥善处理本项目产生的固体废物，使之不成为区域内危害环境的新污染源。</w:t>
            </w:r>
          </w:p>
          <w:p>
            <w:pPr>
              <w:adjustRightInd w:val="0"/>
              <w:snapToGrid w:val="0"/>
              <w:spacing w:line="360" w:lineRule="auto"/>
              <w:ind w:firstLine="482" w:firstLineChars="200"/>
              <w:rPr>
                <w:b/>
                <w:sz w:val="24"/>
              </w:rPr>
            </w:pPr>
            <w:r>
              <w:rPr>
                <w:rFonts w:hint="eastAsia"/>
                <w:b/>
                <w:sz w:val="24"/>
              </w:rPr>
              <w:t>5、敏感点</w:t>
            </w:r>
          </w:p>
          <w:p>
            <w:pPr>
              <w:spacing w:line="360" w:lineRule="auto"/>
              <w:ind w:firstLine="480" w:firstLineChars="200"/>
              <w:jc w:val="left"/>
              <w:rPr>
                <w:bCs/>
                <w:sz w:val="24"/>
                <w:szCs w:val="22"/>
                <w:lang w:val="zh-CN"/>
              </w:rPr>
            </w:pPr>
            <w:r>
              <w:rPr>
                <w:rFonts w:hint="eastAsia"/>
                <w:bCs/>
                <w:sz w:val="24"/>
                <w:szCs w:val="22"/>
                <w:lang w:val="zh-CN"/>
              </w:rPr>
              <w:t>本项目半径</w:t>
            </w:r>
            <w:r>
              <w:rPr>
                <w:rFonts w:hint="eastAsia"/>
                <w:bCs/>
                <w:sz w:val="24"/>
                <w:szCs w:val="22"/>
              </w:rPr>
              <w:t>500m</w:t>
            </w:r>
            <w:r>
              <w:rPr>
                <w:rFonts w:hint="eastAsia"/>
                <w:bCs/>
                <w:sz w:val="24"/>
                <w:szCs w:val="22"/>
                <w:lang w:val="zh-CN"/>
              </w:rPr>
              <w:t>范围周边敏感点情况详见下表：</w:t>
            </w:r>
          </w:p>
          <w:p>
            <w:pPr>
              <w:adjustRightInd w:val="0"/>
              <w:snapToGrid w:val="0"/>
              <w:spacing w:line="360" w:lineRule="auto"/>
              <w:jc w:val="center"/>
              <w:rPr>
                <w:b/>
                <w:szCs w:val="21"/>
              </w:rPr>
            </w:pPr>
            <w:r>
              <w:rPr>
                <w:rFonts w:hint="eastAsia"/>
                <w:b/>
                <w:szCs w:val="21"/>
              </w:rPr>
              <w:t>表3-4</w:t>
            </w:r>
            <w:r>
              <w:rPr>
                <w:b/>
                <w:szCs w:val="21"/>
              </w:rPr>
              <w:t xml:space="preserve">  </w:t>
            </w:r>
            <w:r>
              <w:rPr>
                <w:rFonts w:hint="eastAsia"/>
                <w:b/>
                <w:szCs w:val="21"/>
              </w:rPr>
              <w:t>建设项目周边环境保护目标一览表</w:t>
            </w:r>
          </w:p>
          <w:tbl>
            <w:tblPr>
              <w:tblStyle w:val="15"/>
              <w:tblW w:w="7930" w:type="dxa"/>
              <w:jc w:val="center"/>
              <w:tblInd w:w="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720"/>
              <w:gridCol w:w="630"/>
              <w:gridCol w:w="780"/>
              <w:gridCol w:w="1065"/>
              <w:gridCol w:w="1515"/>
              <w:gridCol w:w="990"/>
              <w:gridCol w:w="1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9" w:hRule="atLeast"/>
                <w:jc w:val="center"/>
              </w:trPr>
              <w:tc>
                <w:tcPr>
                  <w:tcW w:w="1083" w:type="dxa"/>
                  <w:vMerge w:val="restart"/>
                  <w:vAlign w:val="center"/>
                </w:tcPr>
                <w:p>
                  <w:pPr>
                    <w:adjustRightInd w:val="0"/>
                    <w:jc w:val="center"/>
                    <w:rPr>
                      <w:color w:val="000000"/>
                      <w:szCs w:val="21"/>
                    </w:rPr>
                  </w:pPr>
                  <w:r>
                    <w:rPr>
                      <w:color w:val="000000"/>
                      <w:szCs w:val="21"/>
                    </w:rPr>
                    <w:t>保护目标</w:t>
                  </w:r>
                </w:p>
              </w:tc>
              <w:tc>
                <w:tcPr>
                  <w:tcW w:w="1350" w:type="dxa"/>
                  <w:gridSpan w:val="2"/>
                  <w:vAlign w:val="center"/>
                </w:tcPr>
                <w:p>
                  <w:pPr>
                    <w:adjustRightInd w:val="0"/>
                    <w:jc w:val="center"/>
                    <w:rPr>
                      <w:color w:val="000000"/>
                      <w:szCs w:val="21"/>
                    </w:rPr>
                  </w:pPr>
                  <w:r>
                    <w:rPr>
                      <w:rFonts w:hint="eastAsia"/>
                      <w:color w:val="000000"/>
                      <w:szCs w:val="21"/>
                    </w:rPr>
                    <w:t>坐标/m</w:t>
                  </w:r>
                </w:p>
              </w:tc>
              <w:tc>
                <w:tcPr>
                  <w:tcW w:w="780" w:type="dxa"/>
                  <w:vMerge w:val="restart"/>
                  <w:vAlign w:val="center"/>
                </w:tcPr>
                <w:p>
                  <w:pPr>
                    <w:adjustRightInd w:val="0"/>
                    <w:jc w:val="center"/>
                    <w:rPr>
                      <w:color w:val="000000"/>
                      <w:szCs w:val="21"/>
                    </w:rPr>
                  </w:pPr>
                  <w:r>
                    <w:rPr>
                      <w:rFonts w:hint="eastAsia"/>
                      <w:color w:val="000000"/>
                      <w:szCs w:val="21"/>
                    </w:rPr>
                    <w:t>保护对象</w:t>
                  </w:r>
                </w:p>
              </w:tc>
              <w:tc>
                <w:tcPr>
                  <w:tcW w:w="1065" w:type="dxa"/>
                  <w:vMerge w:val="restart"/>
                  <w:vAlign w:val="center"/>
                </w:tcPr>
                <w:p>
                  <w:pPr>
                    <w:adjustRightInd w:val="0"/>
                    <w:jc w:val="center"/>
                    <w:rPr>
                      <w:color w:val="000000"/>
                      <w:szCs w:val="21"/>
                    </w:rPr>
                  </w:pPr>
                  <w:r>
                    <w:rPr>
                      <w:rFonts w:hint="eastAsia"/>
                      <w:color w:val="000000"/>
                      <w:szCs w:val="21"/>
                    </w:rPr>
                    <w:t>保护内容</w:t>
                  </w:r>
                </w:p>
              </w:tc>
              <w:tc>
                <w:tcPr>
                  <w:tcW w:w="1515" w:type="dxa"/>
                  <w:vMerge w:val="restart"/>
                  <w:vAlign w:val="center"/>
                </w:tcPr>
                <w:p>
                  <w:pPr>
                    <w:adjustRightInd w:val="0"/>
                    <w:jc w:val="center"/>
                    <w:rPr>
                      <w:color w:val="000000"/>
                      <w:szCs w:val="21"/>
                    </w:rPr>
                  </w:pPr>
                  <w:r>
                    <w:rPr>
                      <w:rFonts w:hint="eastAsia"/>
                      <w:color w:val="000000"/>
                      <w:szCs w:val="21"/>
                    </w:rPr>
                    <w:t>环境功能区</w:t>
                  </w:r>
                </w:p>
              </w:tc>
              <w:tc>
                <w:tcPr>
                  <w:tcW w:w="990" w:type="dxa"/>
                  <w:vMerge w:val="restart"/>
                  <w:vAlign w:val="center"/>
                </w:tcPr>
                <w:p>
                  <w:pPr>
                    <w:adjustRightInd w:val="0"/>
                    <w:jc w:val="center"/>
                    <w:rPr>
                      <w:color w:val="000000"/>
                      <w:szCs w:val="21"/>
                    </w:rPr>
                  </w:pPr>
                  <w:r>
                    <w:rPr>
                      <w:rFonts w:hint="eastAsia"/>
                      <w:color w:val="000000"/>
                      <w:szCs w:val="21"/>
                    </w:rPr>
                    <w:t>相对厂址方位</w:t>
                  </w:r>
                </w:p>
              </w:tc>
              <w:tc>
                <w:tcPr>
                  <w:tcW w:w="1147" w:type="dxa"/>
                  <w:vMerge w:val="restart"/>
                  <w:vAlign w:val="center"/>
                </w:tcPr>
                <w:p>
                  <w:pPr>
                    <w:adjustRightInd w:val="0"/>
                    <w:jc w:val="center"/>
                    <w:rPr>
                      <w:color w:val="000000"/>
                      <w:szCs w:val="21"/>
                    </w:rPr>
                  </w:pPr>
                  <w:r>
                    <w:rPr>
                      <w:rFonts w:hint="eastAsia"/>
                      <w:color w:val="000000"/>
                      <w:szCs w:val="21"/>
                    </w:rPr>
                    <w:t>相对厂界距离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083" w:type="dxa"/>
                  <w:vMerge w:val="continue"/>
                  <w:vAlign w:val="center"/>
                </w:tcPr>
                <w:p>
                  <w:pPr>
                    <w:adjustRightInd w:val="0"/>
                    <w:jc w:val="center"/>
                    <w:rPr>
                      <w:color w:val="000000"/>
                      <w:szCs w:val="21"/>
                    </w:rPr>
                  </w:pPr>
                </w:p>
              </w:tc>
              <w:tc>
                <w:tcPr>
                  <w:tcW w:w="720" w:type="dxa"/>
                  <w:vAlign w:val="center"/>
                </w:tcPr>
                <w:p>
                  <w:pPr>
                    <w:adjustRightInd w:val="0"/>
                    <w:jc w:val="center"/>
                    <w:rPr>
                      <w:color w:val="000000"/>
                      <w:szCs w:val="21"/>
                    </w:rPr>
                  </w:pPr>
                  <w:r>
                    <w:rPr>
                      <w:rFonts w:hint="eastAsia"/>
                      <w:color w:val="000000"/>
                      <w:szCs w:val="21"/>
                    </w:rPr>
                    <w:t>X</w:t>
                  </w:r>
                </w:p>
              </w:tc>
              <w:tc>
                <w:tcPr>
                  <w:tcW w:w="630" w:type="dxa"/>
                  <w:vAlign w:val="center"/>
                </w:tcPr>
                <w:p>
                  <w:pPr>
                    <w:adjustRightInd w:val="0"/>
                    <w:jc w:val="center"/>
                    <w:rPr>
                      <w:color w:val="000000"/>
                      <w:szCs w:val="21"/>
                    </w:rPr>
                  </w:pPr>
                  <w:r>
                    <w:rPr>
                      <w:rFonts w:hint="eastAsia"/>
                      <w:color w:val="000000"/>
                      <w:szCs w:val="21"/>
                    </w:rPr>
                    <w:t>Y</w:t>
                  </w:r>
                </w:p>
              </w:tc>
              <w:tc>
                <w:tcPr>
                  <w:tcW w:w="780" w:type="dxa"/>
                  <w:vMerge w:val="continue"/>
                  <w:vAlign w:val="center"/>
                </w:tcPr>
                <w:p>
                  <w:pPr>
                    <w:adjustRightInd w:val="0"/>
                    <w:jc w:val="center"/>
                    <w:rPr>
                      <w:color w:val="000000"/>
                      <w:szCs w:val="21"/>
                    </w:rPr>
                  </w:pPr>
                </w:p>
              </w:tc>
              <w:tc>
                <w:tcPr>
                  <w:tcW w:w="1065" w:type="dxa"/>
                  <w:vMerge w:val="continue"/>
                  <w:vAlign w:val="center"/>
                </w:tcPr>
                <w:p>
                  <w:pPr>
                    <w:adjustRightInd w:val="0"/>
                    <w:jc w:val="center"/>
                    <w:rPr>
                      <w:color w:val="000000"/>
                      <w:szCs w:val="21"/>
                    </w:rPr>
                  </w:pPr>
                </w:p>
              </w:tc>
              <w:tc>
                <w:tcPr>
                  <w:tcW w:w="1515" w:type="dxa"/>
                  <w:vMerge w:val="continue"/>
                  <w:vAlign w:val="center"/>
                </w:tcPr>
                <w:p>
                  <w:pPr>
                    <w:adjustRightInd w:val="0"/>
                    <w:jc w:val="center"/>
                    <w:rPr>
                      <w:color w:val="000000"/>
                      <w:szCs w:val="21"/>
                    </w:rPr>
                  </w:pPr>
                </w:p>
              </w:tc>
              <w:tc>
                <w:tcPr>
                  <w:tcW w:w="990" w:type="dxa"/>
                  <w:vMerge w:val="continue"/>
                  <w:vAlign w:val="center"/>
                </w:tcPr>
                <w:p>
                  <w:pPr>
                    <w:adjustRightInd w:val="0"/>
                    <w:jc w:val="center"/>
                    <w:rPr>
                      <w:color w:val="000000"/>
                      <w:szCs w:val="21"/>
                    </w:rPr>
                  </w:pPr>
                </w:p>
              </w:tc>
              <w:tc>
                <w:tcPr>
                  <w:tcW w:w="1147" w:type="dxa"/>
                  <w:vMerge w:val="continue"/>
                  <w:vAlign w:val="center"/>
                </w:tcPr>
                <w:p>
                  <w:pPr>
                    <w:adjustRightInd w:val="0"/>
                    <w:jc w:val="center"/>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2" w:hRule="atLeast"/>
                <w:jc w:val="center"/>
              </w:trPr>
              <w:tc>
                <w:tcPr>
                  <w:tcW w:w="1083" w:type="dxa"/>
                  <w:vAlign w:val="center"/>
                </w:tcPr>
                <w:p>
                  <w:pPr>
                    <w:jc w:val="center"/>
                    <w:rPr>
                      <w:caps/>
                      <w:szCs w:val="21"/>
                      <w:lang w:val="zh-CN"/>
                    </w:rPr>
                  </w:pPr>
                  <w:r>
                    <w:rPr>
                      <w:rFonts w:hint="eastAsia"/>
                      <w:caps/>
                      <w:szCs w:val="21"/>
                      <w:lang w:val="zh-CN"/>
                    </w:rPr>
                    <w:t>西湖村</w:t>
                  </w:r>
                </w:p>
              </w:tc>
              <w:tc>
                <w:tcPr>
                  <w:tcW w:w="720" w:type="dxa"/>
                  <w:vAlign w:val="center"/>
                </w:tcPr>
                <w:p>
                  <w:pPr>
                    <w:jc w:val="center"/>
                    <w:rPr>
                      <w:color w:val="000000"/>
                    </w:rPr>
                  </w:pPr>
                  <w:r>
                    <w:rPr>
                      <w:rFonts w:hint="eastAsia"/>
                      <w:color w:val="000000"/>
                    </w:rPr>
                    <w:t>-101</w:t>
                  </w:r>
                </w:p>
              </w:tc>
              <w:tc>
                <w:tcPr>
                  <w:tcW w:w="630" w:type="dxa"/>
                  <w:vAlign w:val="center"/>
                </w:tcPr>
                <w:p>
                  <w:pPr>
                    <w:jc w:val="center"/>
                    <w:rPr>
                      <w:rFonts w:hint="eastAsia" w:eastAsia="宋体"/>
                      <w:color w:val="000000"/>
                      <w:lang w:val="en-US" w:eastAsia="zh-CN"/>
                    </w:rPr>
                  </w:pPr>
                  <w:r>
                    <w:rPr>
                      <w:rFonts w:hint="eastAsia"/>
                      <w:color w:val="000000"/>
                    </w:rPr>
                    <w:t>-</w:t>
                  </w:r>
                  <w:r>
                    <w:rPr>
                      <w:rFonts w:hint="eastAsia"/>
                      <w:color w:val="000000"/>
                      <w:lang w:val="en-US" w:eastAsia="zh-CN"/>
                    </w:rPr>
                    <w:t>65</w:t>
                  </w:r>
                </w:p>
              </w:tc>
              <w:tc>
                <w:tcPr>
                  <w:tcW w:w="780" w:type="dxa"/>
                  <w:vAlign w:val="center"/>
                </w:tcPr>
                <w:p>
                  <w:pPr>
                    <w:adjustRightInd w:val="0"/>
                    <w:jc w:val="center"/>
                    <w:rPr>
                      <w:color w:val="000000"/>
                      <w:szCs w:val="21"/>
                    </w:rPr>
                  </w:pPr>
                  <w:r>
                    <w:rPr>
                      <w:color w:val="000000"/>
                      <w:szCs w:val="21"/>
                    </w:rPr>
                    <w:t>居民</w:t>
                  </w:r>
                </w:p>
              </w:tc>
              <w:tc>
                <w:tcPr>
                  <w:tcW w:w="1065" w:type="dxa"/>
                  <w:vAlign w:val="center"/>
                </w:tcPr>
                <w:p>
                  <w:pPr>
                    <w:adjustRightInd w:val="0"/>
                    <w:jc w:val="center"/>
                    <w:rPr>
                      <w:color w:val="000000"/>
                      <w:szCs w:val="21"/>
                    </w:rPr>
                  </w:pPr>
                  <w:r>
                    <w:rPr>
                      <w:rFonts w:hint="eastAsia"/>
                      <w:color w:val="000000"/>
                      <w:szCs w:val="21"/>
                    </w:rPr>
                    <w:t>1050人</w:t>
                  </w:r>
                </w:p>
              </w:tc>
              <w:tc>
                <w:tcPr>
                  <w:tcW w:w="1515" w:type="dxa"/>
                  <w:vAlign w:val="center"/>
                </w:tcPr>
                <w:p>
                  <w:pPr>
                    <w:jc w:val="center"/>
                    <w:rPr>
                      <w:szCs w:val="21"/>
                    </w:rPr>
                  </w:pPr>
                  <w:r>
                    <w:rPr>
                      <w:rFonts w:hint="eastAsia"/>
                      <w:szCs w:val="21"/>
                    </w:rPr>
                    <w:t>大气环境二类、噪声2类</w:t>
                  </w:r>
                </w:p>
              </w:tc>
              <w:tc>
                <w:tcPr>
                  <w:tcW w:w="990" w:type="dxa"/>
                  <w:vAlign w:val="center"/>
                </w:tcPr>
                <w:p>
                  <w:pPr>
                    <w:jc w:val="center"/>
                    <w:rPr>
                      <w:caps/>
                      <w:szCs w:val="21"/>
                      <w:lang w:val="zh-CN"/>
                    </w:rPr>
                  </w:pPr>
                  <w:r>
                    <w:rPr>
                      <w:rFonts w:hint="eastAsia"/>
                      <w:caps/>
                      <w:szCs w:val="21"/>
                      <w:lang w:val="zh-CN"/>
                    </w:rPr>
                    <w:t>东南</w:t>
                  </w:r>
                </w:p>
              </w:tc>
              <w:tc>
                <w:tcPr>
                  <w:tcW w:w="1147" w:type="dxa"/>
                  <w:vAlign w:val="center"/>
                </w:tcPr>
                <w:p>
                  <w:pPr>
                    <w:jc w:val="center"/>
                    <w:rPr>
                      <w:caps/>
                      <w:szCs w:val="21"/>
                    </w:rPr>
                  </w:pPr>
                  <w:r>
                    <w:rPr>
                      <w:rFonts w:hint="eastAsia"/>
                      <w:caps/>
                      <w:szCs w:val="21"/>
                    </w:rPr>
                    <w:t>12</w:t>
                  </w:r>
                  <w:r>
                    <w:rPr>
                      <w:caps/>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2" w:hRule="atLeast"/>
                <w:jc w:val="center"/>
              </w:trPr>
              <w:tc>
                <w:tcPr>
                  <w:tcW w:w="1083" w:type="dxa"/>
                  <w:vAlign w:val="center"/>
                </w:tcPr>
                <w:p>
                  <w:pPr>
                    <w:jc w:val="center"/>
                    <w:rPr>
                      <w:caps/>
                      <w:szCs w:val="21"/>
                      <w:lang w:val="zh-CN"/>
                    </w:rPr>
                  </w:pPr>
                  <w:r>
                    <w:rPr>
                      <w:rFonts w:hint="eastAsia"/>
                      <w:caps/>
                      <w:szCs w:val="21"/>
                      <w:lang w:val="zh-CN"/>
                    </w:rPr>
                    <w:t>东辉小学</w:t>
                  </w:r>
                </w:p>
              </w:tc>
              <w:tc>
                <w:tcPr>
                  <w:tcW w:w="720" w:type="dxa"/>
                  <w:vAlign w:val="center"/>
                </w:tcPr>
                <w:p>
                  <w:pPr>
                    <w:jc w:val="center"/>
                    <w:rPr>
                      <w:rFonts w:hint="eastAsia" w:eastAsia="宋体"/>
                      <w:color w:val="000000"/>
                      <w:lang w:val="en-US" w:eastAsia="zh-CN"/>
                    </w:rPr>
                  </w:pPr>
                  <w:r>
                    <w:rPr>
                      <w:rFonts w:hint="eastAsia"/>
                      <w:color w:val="000000"/>
                    </w:rPr>
                    <w:t>2</w:t>
                  </w:r>
                  <w:r>
                    <w:rPr>
                      <w:rFonts w:hint="eastAsia"/>
                      <w:color w:val="000000"/>
                      <w:lang w:val="en-US" w:eastAsia="zh-CN"/>
                    </w:rPr>
                    <w:t>66</w:t>
                  </w:r>
                </w:p>
              </w:tc>
              <w:tc>
                <w:tcPr>
                  <w:tcW w:w="630" w:type="dxa"/>
                  <w:vAlign w:val="center"/>
                </w:tcPr>
                <w:p>
                  <w:pPr>
                    <w:jc w:val="center"/>
                    <w:rPr>
                      <w:color w:val="000000"/>
                    </w:rPr>
                  </w:pPr>
                  <w:r>
                    <w:rPr>
                      <w:rFonts w:hint="eastAsia"/>
                      <w:color w:val="000000"/>
                    </w:rPr>
                    <w:t>0</w:t>
                  </w:r>
                </w:p>
              </w:tc>
              <w:tc>
                <w:tcPr>
                  <w:tcW w:w="780" w:type="dxa"/>
                  <w:vAlign w:val="center"/>
                </w:tcPr>
                <w:p>
                  <w:pPr>
                    <w:adjustRightInd w:val="0"/>
                    <w:jc w:val="center"/>
                    <w:rPr>
                      <w:color w:val="000000"/>
                      <w:szCs w:val="21"/>
                    </w:rPr>
                  </w:pPr>
                  <w:r>
                    <w:rPr>
                      <w:rFonts w:hint="eastAsia"/>
                      <w:color w:val="000000"/>
                      <w:szCs w:val="21"/>
                    </w:rPr>
                    <w:t>学校</w:t>
                  </w:r>
                </w:p>
              </w:tc>
              <w:tc>
                <w:tcPr>
                  <w:tcW w:w="1065" w:type="dxa"/>
                  <w:vAlign w:val="center"/>
                </w:tcPr>
                <w:p>
                  <w:pPr>
                    <w:adjustRightInd w:val="0"/>
                    <w:jc w:val="center"/>
                    <w:rPr>
                      <w:color w:val="000000"/>
                      <w:szCs w:val="21"/>
                    </w:rPr>
                  </w:pPr>
                  <w:r>
                    <w:rPr>
                      <w:rFonts w:hint="eastAsia"/>
                      <w:color w:val="000000"/>
                      <w:szCs w:val="21"/>
                    </w:rPr>
                    <w:t>800人</w:t>
                  </w:r>
                </w:p>
              </w:tc>
              <w:tc>
                <w:tcPr>
                  <w:tcW w:w="1515" w:type="dxa"/>
                  <w:vAlign w:val="center"/>
                </w:tcPr>
                <w:p>
                  <w:pPr>
                    <w:jc w:val="center"/>
                    <w:rPr>
                      <w:szCs w:val="21"/>
                    </w:rPr>
                  </w:pPr>
                  <w:r>
                    <w:rPr>
                      <w:rFonts w:hint="eastAsia"/>
                      <w:szCs w:val="21"/>
                    </w:rPr>
                    <w:t>大气环境二类</w:t>
                  </w:r>
                </w:p>
              </w:tc>
              <w:tc>
                <w:tcPr>
                  <w:tcW w:w="990" w:type="dxa"/>
                  <w:vAlign w:val="center"/>
                </w:tcPr>
                <w:p>
                  <w:pPr>
                    <w:jc w:val="center"/>
                    <w:rPr>
                      <w:caps/>
                      <w:szCs w:val="21"/>
                      <w:lang w:val="zh-CN"/>
                    </w:rPr>
                  </w:pPr>
                  <w:r>
                    <w:rPr>
                      <w:rFonts w:hint="eastAsia"/>
                      <w:caps/>
                      <w:szCs w:val="21"/>
                      <w:lang w:val="zh-CN"/>
                    </w:rPr>
                    <w:t>东</w:t>
                  </w:r>
                </w:p>
              </w:tc>
              <w:tc>
                <w:tcPr>
                  <w:tcW w:w="1147" w:type="dxa"/>
                  <w:vAlign w:val="center"/>
                </w:tcPr>
                <w:p>
                  <w:pPr>
                    <w:jc w:val="center"/>
                    <w:rPr>
                      <w:caps/>
                      <w:szCs w:val="21"/>
                    </w:rPr>
                  </w:pPr>
                  <w:r>
                    <w:rPr>
                      <w:rFonts w:hint="eastAsia"/>
                      <w:caps/>
                      <w:szCs w:val="21"/>
                    </w:rPr>
                    <w:t>266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2" w:hRule="atLeast"/>
                <w:jc w:val="center"/>
              </w:trPr>
              <w:tc>
                <w:tcPr>
                  <w:tcW w:w="1083" w:type="dxa"/>
                  <w:vAlign w:val="center"/>
                </w:tcPr>
                <w:p>
                  <w:pPr>
                    <w:jc w:val="center"/>
                    <w:rPr>
                      <w:caps/>
                      <w:szCs w:val="21"/>
                      <w:lang w:val="zh-CN"/>
                    </w:rPr>
                  </w:pPr>
                  <w:r>
                    <w:rPr>
                      <w:rFonts w:hint="eastAsia"/>
                      <w:caps/>
                      <w:szCs w:val="21"/>
                      <w:lang w:val="zh-CN"/>
                    </w:rPr>
                    <w:t>蚌湖中心幼儿园</w:t>
                  </w:r>
                </w:p>
              </w:tc>
              <w:tc>
                <w:tcPr>
                  <w:tcW w:w="720" w:type="dxa"/>
                  <w:vAlign w:val="center"/>
                </w:tcPr>
                <w:p>
                  <w:pPr>
                    <w:jc w:val="center"/>
                    <w:rPr>
                      <w:rFonts w:hint="eastAsia" w:eastAsia="宋体"/>
                      <w:color w:val="000000"/>
                      <w:lang w:val="en-US" w:eastAsia="zh-CN"/>
                    </w:rPr>
                  </w:pPr>
                  <w:r>
                    <w:rPr>
                      <w:rFonts w:hint="eastAsia"/>
                      <w:color w:val="000000"/>
                      <w:lang w:val="en-US" w:eastAsia="zh-CN"/>
                    </w:rPr>
                    <w:t>313</w:t>
                  </w:r>
                </w:p>
              </w:tc>
              <w:tc>
                <w:tcPr>
                  <w:tcW w:w="630" w:type="dxa"/>
                  <w:vAlign w:val="center"/>
                </w:tcPr>
                <w:p>
                  <w:pPr>
                    <w:jc w:val="center"/>
                    <w:rPr>
                      <w:color w:val="000000"/>
                    </w:rPr>
                  </w:pPr>
                  <w:r>
                    <w:rPr>
                      <w:rFonts w:hint="eastAsia"/>
                      <w:color w:val="000000"/>
                    </w:rPr>
                    <w:t>-27</w:t>
                  </w:r>
                </w:p>
              </w:tc>
              <w:tc>
                <w:tcPr>
                  <w:tcW w:w="780" w:type="dxa"/>
                  <w:vAlign w:val="center"/>
                </w:tcPr>
                <w:p>
                  <w:pPr>
                    <w:adjustRightInd w:val="0"/>
                    <w:jc w:val="center"/>
                    <w:rPr>
                      <w:color w:val="000000"/>
                      <w:szCs w:val="21"/>
                    </w:rPr>
                  </w:pPr>
                  <w:r>
                    <w:rPr>
                      <w:rFonts w:hint="eastAsia"/>
                      <w:color w:val="000000"/>
                      <w:szCs w:val="21"/>
                    </w:rPr>
                    <w:t>学校</w:t>
                  </w:r>
                </w:p>
              </w:tc>
              <w:tc>
                <w:tcPr>
                  <w:tcW w:w="1065" w:type="dxa"/>
                  <w:vAlign w:val="center"/>
                </w:tcPr>
                <w:p>
                  <w:pPr>
                    <w:adjustRightInd w:val="0"/>
                    <w:jc w:val="center"/>
                    <w:rPr>
                      <w:color w:val="000000"/>
                      <w:szCs w:val="21"/>
                    </w:rPr>
                  </w:pPr>
                  <w:r>
                    <w:rPr>
                      <w:rFonts w:hint="eastAsia"/>
                      <w:caps/>
                      <w:szCs w:val="21"/>
                      <w:lang w:val="zh-CN"/>
                    </w:rPr>
                    <w:t>250人</w:t>
                  </w:r>
                </w:p>
              </w:tc>
              <w:tc>
                <w:tcPr>
                  <w:tcW w:w="1515" w:type="dxa"/>
                  <w:vAlign w:val="center"/>
                </w:tcPr>
                <w:p>
                  <w:pPr>
                    <w:jc w:val="center"/>
                    <w:rPr>
                      <w:szCs w:val="21"/>
                    </w:rPr>
                  </w:pPr>
                  <w:r>
                    <w:rPr>
                      <w:rFonts w:hint="eastAsia"/>
                      <w:szCs w:val="21"/>
                    </w:rPr>
                    <w:t>大气环境二类</w:t>
                  </w:r>
                </w:p>
              </w:tc>
              <w:tc>
                <w:tcPr>
                  <w:tcW w:w="990" w:type="dxa"/>
                  <w:vAlign w:val="center"/>
                </w:tcPr>
                <w:p>
                  <w:pPr>
                    <w:jc w:val="center"/>
                    <w:rPr>
                      <w:rFonts w:hint="eastAsia" w:eastAsia="宋体"/>
                      <w:caps/>
                      <w:szCs w:val="21"/>
                      <w:lang w:val="en-US" w:eastAsia="zh-CN"/>
                    </w:rPr>
                  </w:pPr>
                  <w:r>
                    <w:rPr>
                      <w:rFonts w:hint="eastAsia"/>
                      <w:caps/>
                      <w:szCs w:val="21"/>
                      <w:lang w:val="zh-CN"/>
                    </w:rPr>
                    <w:t>东</w:t>
                  </w:r>
                  <w:r>
                    <w:rPr>
                      <w:rFonts w:hint="eastAsia"/>
                      <w:caps/>
                      <w:szCs w:val="21"/>
                      <w:lang w:val="en-US" w:eastAsia="zh-CN"/>
                    </w:rPr>
                    <w:t>南面</w:t>
                  </w:r>
                </w:p>
              </w:tc>
              <w:tc>
                <w:tcPr>
                  <w:tcW w:w="1147" w:type="dxa"/>
                  <w:vAlign w:val="center"/>
                </w:tcPr>
                <w:p>
                  <w:pPr>
                    <w:jc w:val="center"/>
                    <w:rPr>
                      <w:caps/>
                      <w:szCs w:val="21"/>
                    </w:rPr>
                  </w:pPr>
                  <w:r>
                    <w:rPr>
                      <w:rFonts w:hint="eastAsia"/>
                      <w:caps/>
                      <w:szCs w:val="21"/>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5" w:hRule="atLeast"/>
                <w:jc w:val="center"/>
              </w:trPr>
              <w:tc>
                <w:tcPr>
                  <w:tcW w:w="7930" w:type="dxa"/>
                  <w:gridSpan w:val="8"/>
                  <w:vAlign w:val="center"/>
                </w:tcPr>
                <w:p>
                  <w:pPr>
                    <w:adjustRightInd w:val="0"/>
                    <w:rPr>
                      <w:color w:val="000000"/>
                      <w:szCs w:val="21"/>
                    </w:rPr>
                  </w:pPr>
                  <w:r>
                    <w:rPr>
                      <w:rFonts w:hint="eastAsia"/>
                      <w:color w:val="000000"/>
                      <w:szCs w:val="21"/>
                    </w:rPr>
                    <w:t>备注：环境保护目标坐标取距离项目厂址中心点的最近点位置。</w:t>
                  </w:r>
                </w:p>
              </w:tc>
            </w:tr>
          </w:tbl>
          <w:p>
            <w:pPr>
              <w:adjustRightInd w:val="0"/>
              <w:snapToGrid w:val="0"/>
              <w:spacing w:line="360" w:lineRule="auto"/>
              <w:jc w:val="center"/>
              <w:rPr>
                <w:rFonts w:hint="eastAsia"/>
                <w:b/>
                <w:szCs w:val="21"/>
              </w:rPr>
            </w:pPr>
          </w:p>
          <w:p>
            <w:pPr>
              <w:adjustRightInd w:val="0"/>
              <w:snapToGrid w:val="0"/>
              <w:spacing w:before="240" w:line="360" w:lineRule="auto"/>
              <w:ind w:left="573"/>
              <w:rPr>
                <w:sz w:val="28"/>
              </w:rPr>
            </w:pPr>
          </w:p>
          <w:p/>
        </w:tc>
      </w:tr>
    </w:tbl>
    <w:p>
      <w:pPr>
        <w:sectPr>
          <w:pgSz w:w="11906" w:h="16838"/>
          <w:pgMar w:top="1440" w:right="1800" w:bottom="1440" w:left="1800" w:header="851" w:footer="992" w:gutter="0"/>
          <w:pgNumType w:fmt="decimal"/>
          <w:cols w:space="425" w:num="1"/>
          <w:docGrid w:type="lines" w:linePitch="312" w:charSpace="0"/>
        </w:sectPr>
      </w:pPr>
    </w:p>
    <w:p>
      <w:pPr>
        <w:rPr>
          <w:b/>
          <w:bCs/>
          <w:sz w:val="30"/>
          <w:szCs w:val="30"/>
        </w:rPr>
      </w:pPr>
      <w:r>
        <w:rPr>
          <w:rFonts w:hint="eastAsia"/>
          <w:b/>
          <w:bCs/>
          <w:sz w:val="30"/>
          <w:szCs w:val="30"/>
        </w:rPr>
        <w:t>评价适用标准</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6"/>
        <w:gridCol w:w="8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6" w:type="dxa"/>
            <w:vAlign w:val="center"/>
          </w:tcPr>
          <w:p>
            <w:pPr>
              <w:jc w:val="center"/>
              <w:rPr>
                <w:b/>
                <w:bCs/>
                <w:sz w:val="24"/>
              </w:rPr>
            </w:pPr>
            <w:r>
              <w:rPr>
                <w:rFonts w:hint="eastAsia"/>
                <w:b/>
                <w:bCs/>
                <w:caps/>
                <w:sz w:val="24"/>
              </w:rPr>
              <w:t>环境质量标准</w:t>
            </w:r>
          </w:p>
        </w:tc>
        <w:tc>
          <w:tcPr>
            <w:tcW w:w="8136" w:type="dxa"/>
          </w:tcPr>
          <w:p>
            <w:pPr>
              <w:keepNext w:val="0"/>
              <w:keepLines w:val="0"/>
              <w:pageBreakBefore w:val="0"/>
              <w:widowControl w:val="0"/>
              <w:kinsoku/>
              <w:wordWrap/>
              <w:overflowPunct/>
              <w:topLinePunct w:val="0"/>
              <w:autoSpaceDE/>
              <w:autoSpaceDN/>
              <w:bidi w:val="0"/>
              <w:adjustRightInd/>
              <w:snapToGrid/>
              <w:spacing w:before="157" w:beforeLines="50"/>
              <w:textAlignment w:val="auto"/>
              <w:rPr>
                <w:bCs/>
                <w:sz w:val="24"/>
                <w:szCs w:val="22"/>
                <w:lang w:val="zh-CN"/>
              </w:rPr>
            </w:pPr>
            <w:r>
              <w:rPr>
                <w:sz w:val="24"/>
              </w:rPr>
              <w:t>1</w:t>
            </w:r>
            <w:r>
              <w:rPr>
                <w:bCs/>
                <w:sz w:val="24"/>
                <w:szCs w:val="22"/>
                <w:lang w:val="zh-CN"/>
              </w:rPr>
              <w:t>、《</w:t>
            </w:r>
            <w:r>
              <w:rPr>
                <w:rFonts w:ascii="Times New Roman" w:hAnsi="Times New Roman" w:cs="Times New Roman"/>
                <w:bCs/>
                <w:sz w:val="24"/>
                <w:szCs w:val="22"/>
                <w:lang w:val="zh-CN"/>
              </w:rPr>
              <w:t>地表水</w:t>
            </w:r>
            <w:r>
              <w:rPr>
                <w:bCs/>
                <w:sz w:val="24"/>
                <w:szCs w:val="22"/>
                <w:lang w:val="zh-CN"/>
              </w:rPr>
              <w:t>环境质量标准》（GB3838-2002）Ⅲ类标准；</w:t>
            </w:r>
          </w:p>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b/>
                <w:szCs w:val="21"/>
              </w:rPr>
            </w:pPr>
            <w:r>
              <w:rPr>
                <w:b/>
                <w:szCs w:val="21"/>
              </w:rPr>
              <w:t>表4-1 《地表水环境质量标准》（GB3838-2002）III类标准（单位mg/L）</w:t>
            </w:r>
          </w:p>
          <w:tbl>
            <w:tblPr>
              <w:tblStyle w:val="15"/>
              <w:tblW w:w="782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0"/>
              <w:gridCol w:w="1564"/>
              <w:gridCol w:w="1564"/>
              <w:gridCol w:w="1564"/>
              <w:gridCol w:w="1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1570"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t>污染物</w:t>
                  </w:r>
                </w:p>
              </w:tc>
              <w:tc>
                <w:tcPr>
                  <w:tcW w:w="1564"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t>溶解氧</w:t>
                  </w:r>
                </w:p>
              </w:tc>
              <w:tc>
                <w:tcPr>
                  <w:tcW w:w="1564"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t>氨氮</w:t>
                  </w:r>
                </w:p>
              </w:tc>
              <w:tc>
                <w:tcPr>
                  <w:tcW w:w="1564"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t>总磷</w:t>
                  </w:r>
                </w:p>
              </w:tc>
              <w:tc>
                <w:tcPr>
                  <w:tcW w:w="1564"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t>化学需氧量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8" w:hRule="atLeast"/>
                <w:jc w:val="center"/>
              </w:trPr>
              <w:tc>
                <w:tcPr>
                  <w:tcW w:w="1570"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fldChar w:fldCharType="begin"/>
                  </w:r>
                  <w:r>
                    <w:rPr>
                      <w:rFonts w:ascii="Times New Roman" w:hAnsi="Times New Roman"/>
                      <w:bCs/>
                      <w:sz w:val="21"/>
                      <w:szCs w:val="21"/>
                    </w:rPr>
                    <w:instrText xml:space="preserve"> = 3 \* ROMAN </w:instrText>
                  </w:r>
                  <w:r>
                    <w:rPr>
                      <w:rFonts w:ascii="Times New Roman" w:hAnsi="Times New Roman"/>
                      <w:bCs/>
                      <w:sz w:val="21"/>
                      <w:szCs w:val="21"/>
                    </w:rPr>
                    <w:fldChar w:fldCharType="separate"/>
                  </w:r>
                  <w:r>
                    <w:rPr>
                      <w:rFonts w:ascii="Times New Roman" w:hAnsi="Times New Roman"/>
                      <w:bCs/>
                      <w:sz w:val="21"/>
                      <w:szCs w:val="21"/>
                    </w:rPr>
                    <w:t>III</w:t>
                  </w:r>
                  <w:r>
                    <w:rPr>
                      <w:rFonts w:ascii="Times New Roman" w:hAnsi="Times New Roman"/>
                      <w:bCs/>
                      <w:sz w:val="21"/>
                      <w:szCs w:val="21"/>
                    </w:rPr>
                    <w:fldChar w:fldCharType="end"/>
                  </w:r>
                  <w:r>
                    <w:rPr>
                      <w:rFonts w:ascii="Times New Roman" w:hAnsi="Times New Roman"/>
                      <w:bCs/>
                      <w:sz w:val="21"/>
                      <w:szCs w:val="21"/>
                    </w:rPr>
                    <w:t>类标准值</w:t>
                  </w:r>
                </w:p>
              </w:tc>
              <w:tc>
                <w:tcPr>
                  <w:tcW w:w="1564"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t>≥5.0</w:t>
                  </w:r>
                </w:p>
              </w:tc>
              <w:tc>
                <w:tcPr>
                  <w:tcW w:w="1564"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t>≤1.0</w:t>
                  </w:r>
                </w:p>
              </w:tc>
              <w:tc>
                <w:tcPr>
                  <w:tcW w:w="1564"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t>≤0.2</w:t>
                  </w:r>
                </w:p>
              </w:tc>
              <w:tc>
                <w:tcPr>
                  <w:tcW w:w="1564" w:type="dxa"/>
                  <w:tcBorders>
                    <w:tl2br w:val="nil"/>
                    <w:tr2bl w:val="nil"/>
                  </w:tcBorders>
                  <w:vAlign w:val="center"/>
                </w:tcPr>
                <w:p>
                  <w:pPr>
                    <w:pStyle w:val="14"/>
                    <w:snapToGrid w:val="0"/>
                    <w:spacing w:before="0" w:beforeAutospacing="0" w:after="0" w:afterAutospacing="0"/>
                    <w:jc w:val="center"/>
                    <w:rPr>
                      <w:rFonts w:ascii="Times New Roman" w:hAnsi="Times New Roman"/>
                      <w:bCs/>
                      <w:sz w:val="21"/>
                      <w:szCs w:val="21"/>
                    </w:rPr>
                  </w:pPr>
                  <w:r>
                    <w:rPr>
                      <w:rFonts w:ascii="Times New Roman" w:hAnsi="Times New Roman"/>
                      <w:bCs/>
                      <w:sz w:val="21"/>
                      <w:szCs w:val="21"/>
                    </w:rPr>
                    <w:t>≤20</w:t>
                  </w:r>
                </w:p>
              </w:tc>
            </w:tr>
          </w:tbl>
          <w:p>
            <w:pPr>
              <w:keepNext w:val="0"/>
              <w:keepLines w:val="0"/>
              <w:pageBreakBefore w:val="0"/>
              <w:widowControl w:val="0"/>
              <w:kinsoku/>
              <w:wordWrap/>
              <w:overflowPunct/>
              <w:topLinePunct w:val="0"/>
              <w:autoSpaceDE/>
              <w:autoSpaceDN/>
              <w:bidi w:val="0"/>
              <w:adjustRightInd/>
              <w:snapToGrid/>
              <w:spacing w:before="157" w:beforeLines="50"/>
              <w:textAlignment w:val="auto"/>
              <w:rPr>
                <w:bCs/>
                <w:sz w:val="24"/>
                <w:szCs w:val="22"/>
                <w:lang w:val="zh-CN"/>
              </w:rPr>
            </w:pPr>
            <w:r>
              <w:rPr>
                <w:bCs/>
                <w:sz w:val="24"/>
                <w:szCs w:val="22"/>
                <w:lang w:val="zh-CN"/>
              </w:rPr>
              <w:t>2、《环境空气质量标准》（GB3095-2012）</w:t>
            </w:r>
            <w:r>
              <w:rPr>
                <w:sz w:val="24"/>
              </w:rPr>
              <w:t>二级标准</w:t>
            </w:r>
            <w:r>
              <w:rPr>
                <w:color w:val="000000"/>
                <w:sz w:val="24"/>
              </w:rPr>
              <w:t>及2018年修改单要求</w:t>
            </w:r>
            <w:r>
              <w:rPr>
                <w:bCs/>
                <w:sz w:val="24"/>
                <w:szCs w:val="22"/>
                <w:lang w:val="zh-CN"/>
              </w:rPr>
              <w:t>；</w:t>
            </w:r>
          </w:p>
          <w:p>
            <w:pPr>
              <w:keepNext w:val="0"/>
              <w:keepLines w:val="0"/>
              <w:pageBreakBefore w:val="0"/>
              <w:widowControl w:val="0"/>
              <w:kinsoku/>
              <w:wordWrap/>
              <w:overflowPunct/>
              <w:topLinePunct w:val="0"/>
              <w:autoSpaceDE/>
              <w:autoSpaceDN/>
              <w:bidi w:val="0"/>
              <w:adjustRightInd/>
              <w:snapToGrid/>
              <w:spacing w:before="157" w:beforeLines="50"/>
              <w:ind w:firstLine="482"/>
              <w:jc w:val="center"/>
              <w:textAlignment w:val="auto"/>
              <w:rPr>
                <w:b/>
                <w:szCs w:val="21"/>
              </w:rPr>
            </w:pPr>
            <w:r>
              <w:rPr>
                <w:b/>
                <w:szCs w:val="21"/>
              </w:rPr>
              <w:t>表4-2  环境空气质量标准（单位mg/ m</w:t>
            </w:r>
            <w:r>
              <w:rPr>
                <w:b/>
                <w:szCs w:val="21"/>
                <w:vertAlign w:val="superscript"/>
              </w:rPr>
              <w:t>3</w:t>
            </w:r>
            <w:r>
              <w:rPr>
                <w:b/>
                <w:szCs w:val="21"/>
              </w:rPr>
              <w:t>）</w:t>
            </w:r>
          </w:p>
          <w:tbl>
            <w:tblPr>
              <w:tblStyle w:val="15"/>
              <w:tblW w:w="787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2"/>
              <w:gridCol w:w="960"/>
              <w:gridCol w:w="961"/>
              <w:gridCol w:w="961"/>
              <w:gridCol w:w="960"/>
              <w:gridCol w:w="961"/>
              <w:gridCol w:w="9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6" w:hRule="atLeast"/>
                <w:jc w:val="center"/>
              </w:trPr>
              <w:tc>
                <w:tcPr>
                  <w:tcW w:w="2112" w:type="dxa"/>
                  <w:tcBorders>
                    <w:tl2br w:val="nil"/>
                    <w:tr2bl w:val="nil"/>
                  </w:tcBorders>
                  <w:vAlign w:val="center"/>
                </w:tcPr>
                <w:p>
                  <w:pPr>
                    <w:tabs>
                      <w:tab w:val="left" w:pos="4290"/>
                      <w:tab w:val="left" w:pos="4620"/>
                      <w:tab w:val="left" w:pos="5040"/>
                      <w:tab w:val="left" w:pos="5460"/>
                      <w:tab w:val="left" w:pos="6090"/>
                    </w:tabs>
                    <w:jc w:val="center"/>
                    <w:rPr>
                      <w:szCs w:val="21"/>
                    </w:rPr>
                  </w:pPr>
                  <w:r>
                    <w:rPr>
                      <w:szCs w:val="21"/>
                    </w:rPr>
                    <w:t>污染物</w:t>
                  </w:r>
                </w:p>
              </w:tc>
              <w:tc>
                <w:tcPr>
                  <w:tcW w:w="960"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SO</w:t>
                  </w:r>
                  <w:r>
                    <w:rPr>
                      <w:bCs/>
                      <w:szCs w:val="21"/>
                      <w:vertAlign w:val="subscript"/>
                    </w:rPr>
                    <w:t>2</w:t>
                  </w:r>
                </w:p>
              </w:tc>
              <w:tc>
                <w:tcPr>
                  <w:tcW w:w="961"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NO</w:t>
                  </w:r>
                  <w:r>
                    <w:rPr>
                      <w:bCs/>
                      <w:szCs w:val="21"/>
                      <w:vertAlign w:val="subscript"/>
                    </w:rPr>
                    <w:t>2</w:t>
                  </w:r>
                </w:p>
              </w:tc>
              <w:tc>
                <w:tcPr>
                  <w:tcW w:w="961"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PM</w:t>
                  </w:r>
                  <w:r>
                    <w:rPr>
                      <w:bCs/>
                      <w:szCs w:val="21"/>
                      <w:vertAlign w:val="subscript"/>
                    </w:rPr>
                    <w:t>10</w:t>
                  </w:r>
                </w:p>
              </w:tc>
              <w:tc>
                <w:tcPr>
                  <w:tcW w:w="960"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PM</w:t>
                  </w:r>
                  <w:r>
                    <w:rPr>
                      <w:bCs/>
                      <w:szCs w:val="21"/>
                      <w:vertAlign w:val="subscript"/>
                    </w:rPr>
                    <w:t>2.5</w:t>
                  </w:r>
                </w:p>
              </w:tc>
              <w:tc>
                <w:tcPr>
                  <w:tcW w:w="961"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O</w:t>
                  </w:r>
                  <w:r>
                    <w:rPr>
                      <w:bCs/>
                      <w:szCs w:val="21"/>
                      <w:vertAlign w:val="subscript"/>
                    </w:rPr>
                    <w:t>3</w:t>
                  </w:r>
                </w:p>
              </w:tc>
              <w:tc>
                <w:tcPr>
                  <w:tcW w:w="961"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CO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6" w:hRule="atLeast"/>
                <w:jc w:val="center"/>
              </w:trPr>
              <w:tc>
                <w:tcPr>
                  <w:tcW w:w="2112"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质量标准</w:t>
                  </w:r>
                </w:p>
              </w:tc>
              <w:tc>
                <w:tcPr>
                  <w:tcW w:w="960"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0.060</w:t>
                  </w:r>
                </w:p>
              </w:tc>
              <w:tc>
                <w:tcPr>
                  <w:tcW w:w="961"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0.040</w:t>
                  </w:r>
                </w:p>
              </w:tc>
              <w:tc>
                <w:tcPr>
                  <w:tcW w:w="961"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0.070</w:t>
                  </w:r>
                </w:p>
              </w:tc>
              <w:tc>
                <w:tcPr>
                  <w:tcW w:w="960"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0.035</w:t>
                  </w:r>
                </w:p>
              </w:tc>
              <w:tc>
                <w:tcPr>
                  <w:tcW w:w="961" w:type="dxa"/>
                  <w:tcBorders>
                    <w:tl2br w:val="nil"/>
                    <w:tr2bl w:val="nil"/>
                  </w:tcBorders>
                  <w:vAlign w:val="center"/>
                </w:tcPr>
                <w:p>
                  <w:pPr>
                    <w:tabs>
                      <w:tab w:val="left" w:pos="4290"/>
                      <w:tab w:val="left" w:pos="4620"/>
                      <w:tab w:val="left" w:pos="5040"/>
                      <w:tab w:val="left" w:pos="5460"/>
                      <w:tab w:val="left" w:pos="6090"/>
                    </w:tabs>
                    <w:jc w:val="center"/>
                    <w:rPr>
                      <w:szCs w:val="21"/>
                    </w:rPr>
                  </w:pPr>
                  <w:r>
                    <w:rPr>
                      <w:bCs/>
                      <w:szCs w:val="21"/>
                    </w:rPr>
                    <w:t>0.160</w:t>
                  </w:r>
                </w:p>
              </w:tc>
              <w:tc>
                <w:tcPr>
                  <w:tcW w:w="961" w:type="dxa"/>
                  <w:tcBorders>
                    <w:tl2br w:val="nil"/>
                    <w:tr2bl w:val="nil"/>
                  </w:tcBorders>
                  <w:vAlign w:val="center"/>
                </w:tcPr>
                <w:p>
                  <w:pPr>
                    <w:tabs>
                      <w:tab w:val="left" w:pos="4290"/>
                      <w:tab w:val="left" w:pos="4620"/>
                      <w:tab w:val="left" w:pos="5040"/>
                      <w:tab w:val="left" w:pos="5460"/>
                      <w:tab w:val="left" w:pos="6090"/>
                    </w:tabs>
                    <w:jc w:val="center"/>
                    <w:rPr>
                      <w:szCs w:val="21"/>
                    </w:rPr>
                  </w:pPr>
                  <w:r>
                    <w:rPr>
                      <w:szCs w:val="21"/>
                    </w:rPr>
                    <w:t>4</w:t>
                  </w:r>
                </w:p>
              </w:tc>
            </w:tr>
          </w:tbl>
          <w:p>
            <w:pPr>
              <w:keepNext w:val="0"/>
              <w:keepLines w:val="0"/>
              <w:pageBreakBefore w:val="0"/>
              <w:widowControl w:val="0"/>
              <w:kinsoku/>
              <w:wordWrap/>
              <w:overflowPunct/>
              <w:topLinePunct w:val="0"/>
              <w:autoSpaceDE/>
              <w:autoSpaceDN/>
              <w:bidi w:val="0"/>
              <w:adjustRightInd/>
              <w:snapToGrid/>
              <w:spacing w:before="157" w:beforeLines="50"/>
              <w:textAlignment w:val="auto"/>
              <w:rPr>
                <w:sz w:val="24"/>
              </w:rPr>
            </w:pPr>
            <w:r>
              <w:rPr>
                <w:bCs/>
                <w:sz w:val="24"/>
                <w:szCs w:val="22"/>
              </w:rPr>
              <w:t>3</w:t>
            </w:r>
            <w:r>
              <w:rPr>
                <w:bCs/>
                <w:sz w:val="24"/>
                <w:szCs w:val="22"/>
                <w:lang w:val="zh-CN"/>
              </w:rPr>
              <w:t>、《声环境质量标准》（GB3096-2008）2类标准。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59" w:hRule="atLeast"/>
        </w:trPr>
        <w:tc>
          <w:tcPr>
            <w:tcW w:w="386" w:type="dxa"/>
            <w:vAlign w:val="center"/>
          </w:tcPr>
          <w:p>
            <w:pPr>
              <w:jc w:val="center"/>
              <w:rPr>
                <w:b/>
                <w:bCs/>
                <w:sz w:val="24"/>
              </w:rPr>
            </w:pPr>
            <w:r>
              <w:rPr>
                <w:rFonts w:hint="eastAsia"/>
                <w:b/>
                <w:bCs/>
                <w:sz w:val="24"/>
              </w:rPr>
              <w:t>污染物排放标准</w:t>
            </w:r>
          </w:p>
        </w:tc>
        <w:tc>
          <w:tcPr>
            <w:tcW w:w="8136" w:type="dxa"/>
          </w:tcPr>
          <w:p>
            <w:pPr>
              <w:spacing w:line="360" w:lineRule="auto"/>
              <w:ind w:firstLine="482"/>
              <w:rPr>
                <w:b/>
                <w:bCs/>
                <w:sz w:val="24"/>
              </w:rPr>
            </w:pPr>
            <w:r>
              <w:rPr>
                <w:b/>
                <w:bCs/>
                <w:sz w:val="24"/>
              </w:rPr>
              <w:t>1、水污染物</w:t>
            </w:r>
          </w:p>
          <w:p>
            <w:pPr>
              <w:pStyle w:val="21"/>
              <w:adjustRightInd w:val="0"/>
              <w:snapToGrid w:val="0"/>
              <w:ind w:firstLine="480" w:firstLineChars="200"/>
            </w:pPr>
            <w:r>
              <w:t>项目位于龙归污水处理厂服务范围，执行广东省《水污染物排放限值》（DB44/26-2001）第二时段三级标准。</w:t>
            </w:r>
          </w:p>
          <w:p>
            <w:pPr>
              <w:spacing w:line="360" w:lineRule="auto"/>
              <w:jc w:val="center"/>
              <w:rPr>
                <w:b/>
              </w:rPr>
            </w:pPr>
            <w:r>
              <w:rPr>
                <w:b/>
              </w:rPr>
              <w:t>表</w:t>
            </w:r>
            <w:r>
              <w:rPr>
                <w:rFonts w:hint="eastAsia"/>
                <w:b/>
              </w:rPr>
              <w:t xml:space="preserve">4-3 </w:t>
            </w:r>
            <w:r>
              <w:rPr>
                <w:b/>
              </w:rPr>
              <w:t>《水污染物排放限值》（DB44/26-2001）第二时段三级标准（单位</w:t>
            </w:r>
            <w:r>
              <w:rPr>
                <w:rFonts w:hint="eastAsia"/>
                <w:b/>
              </w:rPr>
              <w:t>：</w:t>
            </w:r>
            <w:r>
              <w:rPr>
                <w:b/>
              </w:rPr>
              <w:t>mg/ L）</w:t>
            </w:r>
          </w:p>
          <w:tbl>
            <w:tblPr>
              <w:tblStyle w:val="15"/>
              <w:tblW w:w="791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1"/>
              <w:gridCol w:w="1369"/>
              <w:gridCol w:w="1368"/>
              <w:gridCol w:w="1369"/>
              <w:gridCol w:w="15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2231" w:type="dxa"/>
                  <w:tcBorders>
                    <w:tl2br w:val="nil"/>
                    <w:tr2bl w:val="nil"/>
                  </w:tcBorders>
                  <w:vAlign w:val="center"/>
                </w:tcPr>
                <w:p>
                  <w:pPr>
                    <w:tabs>
                      <w:tab w:val="left" w:pos="4290"/>
                      <w:tab w:val="left" w:pos="4620"/>
                      <w:tab w:val="left" w:pos="5040"/>
                      <w:tab w:val="left" w:pos="5460"/>
                      <w:tab w:val="left" w:pos="6090"/>
                    </w:tabs>
                    <w:jc w:val="center"/>
                  </w:pPr>
                  <w:r>
                    <w:t>污染物</w:t>
                  </w:r>
                </w:p>
              </w:tc>
              <w:tc>
                <w:tcPr>
                  <w:tcW w:w="1369" w:type="dxa"/>
                  <w:tcBorders>
                    <w:tl2br w:val="nil"/>
                    <w:tr2bl w:val="nil"/>
                  </w:tcBorders>
                  <w:vAlign w:val="center"/>
                </w:tcPr>
                <w:p>
                  <w:pPr>
                    <w:tabs>
                      <w:tab w:val="left" w:pos="4290"/>
                      <w:tab w:val="left" w:pos="4620"/>
                      <w:tab w:val="left" w:pos="5040"/>
                      <w:tab w:val="left" w:pos="5460"/>
                      <w:tab w:val="left" w:pos="6090"/>
                    </w:tabs>
                    <w:jc w:val="center"/>
                  </w:pPr>
                  <w:r>
                    <w:t>COD</w:t>
                  </w:r>
                  <w:r>
                    <w:rPr>
                      <w:vertAlign w:val="subscript"/>
                    </w:rPr>
                    <w:t>Cr</w:t>
                  </w:r>
                </w:p>
              </w:tc>
              <w:tc>
                <w:tcPr>
                  <w:tcW w:w="1368" w:type="dxa"/>
                  <w:tcBorders>
                    <w:tl2br w:val="nil"/>
                    <w:tr2bl w:val="nil"/>
                  </w:tcBorders>
                  <w:vAlign w:val="center"/>
                </w:tcPr>
                <w:p>
                  <w:pPr>
                    <w:tabs>
                      <w:tab w:val="left" w:pos="4290"/>
                      <w:tab w:val="left" w:pos="4620"/>
                      <w:tab w:val="left" w:pos="5040"/>
                      <w:tab w:val="left" w:pos="5460"/>
                      <w:tab w:val="left" w:pos="6090"/>
                    </w:tabs>
                    <w:jc w:val="center"/>
                  </w:pPr>
                  <w:r>
                    <w:t>BOD</w:t>
                  </w:r>
                  <w:r>
                    <w:rPr>
                      <w:vertAlign w:val="subscript"/>
                    </w:rPr>
                    <w:t>5</w:t>
                  </w:r>
                </w:p>
              </w:tc>
              <w:tc>
                <w:tcPr>
                  <w:tcW w:w="1369" w:type="dxa"/>
                  <w:tcBorders>
                    <w:tl2br w:val="nil"/>
                    <w:tr2bl w:val="nil"/>
                  </w:tcBorders>
                  <w:vAlign w:val="center"/>
                </w:tcPr>
                <w:p>
                  <w:pPr>
                    <w:tabs>
                      <w:tab w:val="left" w:pos="4290"/>
                      <w:tab w:val="left" w:pos="4620"/>
                      <w:tab w:val="left" w:pos="5040"/>
                      <w:tab w:val="left" w:pos="5460"/>
                      <w:tab w:val="left" w:pos="6090"/>
                    </w:tabs>
                    <w:jc w:val="center"/>
                  </w:pPr>
                  <w:r>
                    <w:rPr>
                      <w:bCs/>
                    </w:rPr>
                    <w:t>SS</w:t>
                  </w:r>
                </w:p>
              </w:tc>
              <w:tc>
                <w:tcPr>
                  <w:tcW w:w="1573" w:type="dxa"/>
                  <w:tcBorders>
                    <w:tl2br w:val="nil"/>
                    <w:tr2bl w:val="nil"/>
                  </w:tcBorders>
                  <w:vAlign w:val="center"/>
                </w:tcPr>
                <w:p>
                  <w:pPr>
                    <w:tabs>
                      <w:tab w:val="left" w:pos="4290"/>
                      <w:tab w:val="left" w:pos="4620"/>
                      <w:tab w:val="left" w:pos="5040"/>
                      <w:tab w:val="left" w:pos="5460"/>
                      <w:tab w:val="left" w:pos="6090"/>
                    </w:tabs>
                    <w:jc w:val="center"/>
                  </w:pPr>
                  <w: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2231" w:type="dxa"/>
                  <w:tcBorders>
                    <w:tl2br w:val="nil"/>
                    <w:tr2bl w:val="nil"/>
                  </w:tcBorders>
                  <w:vAlign w:val="center"/>
                </w:tcPr>
                <w:p>
                  <w:pPr>
                    <w:tabs>
                      <w:tab w:val="left" w:pos="4290"/>
                      <w:tab w:val="left" w:pos="4620"/>
                      <w:tab w:val="left" w:pos="5040"/>
                      <w:tab w:val="left" w:pos="5460"/>
                      <w:tab w:val="left" w:pos="6090"/>
                    </w:tabs>
                    <w:jc w:val="center"/>
                  </w:pPr>
                  <w:r>
                    <w:rPr>
                      <w:bCs/>
                    </w:rPr>
                    <w:t>质量标准</w:t>
                  </w:r>
                </w:p>
              </w:tc>
              <w:tc>
                <w:tcPr>
                  <w:tcW w:w="1369" w:type="dxa"/>
                  <w:tcBorders>
                    <w:tl2br w:val="nil"/>
                    <w:tr2bl w:val="nil"/>
                  </w:tcBorders>
                  <w:vAlign w:val="center"/>
                </w:tcPr>
                <w:p>
                  <w:pPr>
                    <w:tabs>
                      <w:tab w:val="left" w:pos="4290"/>
                      <w:tab w:val="left" w:pos="4620"/>
                      <w:tab w:val="left" w:pos="5040"/>
                      <w:tab w:val="left" w:pos="5460"/>
                      <w:tab w:val="left" w:pos="6090"/>
                    </w:tabs>
                    <w:jc w:val="center"/>
                  </w:pPr>
                  <w:r>
                    <w:rPr>
                      <w:bCs/>
                    </w:rPr>
                    <w:t>500</w:t>
                  </w:r>
                </w:p>
              </w:tc>
              <w:tc>
                <w:tcPr>
                  <w:tcW w:w="1368" w:type="dxa"/>
                  <w:tcBorders>
                    <w:tl2br w:val="nil"/>
                    <w:tr2bl w:val="nil"/>
                  </w:tcBorders>
                  <w:vAlign w:val="center"/>
                </w:tcPr>
                <w:p>
                  <w:pPr>
                    <w:tabs>
                      <w:tab w:val="left" w:pos="4290"/>
                      <w:tab w:val="left" w:pos="4620"/>
                      <w:tab w:val="left" w:pos="5040"/>
                      <w:tab w:val="left" w:pos="5460"/>
                      <w:tab w:val="left" w:pos="6090"/>
                    </w:tabs>
                    <w:jc w:val="center"/>
                  </w:pPr>
                  <w:r>
                    <w:rPr>
                      <w:bCs/>
                    </w:rPr>
                    <w:t>300</w:t>
                  </w:r>
                </w:p>
              </w:tc>
              <w:tc>
                <w:tcPr>
                  <w:tcW w:w="1369" w:type="dxa"/>
                  <w:tcBorders>
                    <w:tl2br w:val="nil"/>
                    <w:tr2bl w:val="nil"/>
                  </w:tcBorders>
                  <w:vAlign w:val="center"/>
                </w:tcPr>
                <w:p>
                  <w:pPr>
                    <w:tabs>
                      <w:tab w:val="left" w:pos="4290"/>
                      <w:tab w:val="left" w:pos="4620"/>
                      <w:tab w:val="left" w:pos="5040"/>
                      <w:tab w:val="left" w:pos="5460"/>
                      <w:tab w:val="left" w:pos="6090"/>
                    </w:tabs>
                    <w:jc w:val="center"/>
                  </w:pPr>
                  <w:r>
                    <w:rPr>
                      <w:bCs/>
                    </w:rPr>
                    <w:t>400</w:t>
                  </w:r>
                </w:p>
              </w:tc>
              <w:tc>
                <w:tcPr>
                  <w:tcW w:w="1573" w:type="dxa"/>
                  <w:tcBorders>
                    <w:tl2br w:val="nil"/>
                    <w:tr2bl w:val="nil"/>
                  </w:tcBorders>
                  <w:vAlign w:val="center"/>
                </w:tcPr>
                <w:p>
                  <w:pPr>
                    <w:tabs>
                      <w:tab w:val="left" w:pos="4290"/>
                      <w:tab w:val="left" w:pos="4620"/>
                      <w:tab w:val="left" w:pos="5040"/>
                      <w:tab w:val="left" w:pos="5460"/>
                      <w:tab w:val="left" w:pos="6090"/>
                    </w:tabs>
                    <w:jc w:val="center"/>
                  </w:pPr>
                  <w:r>
                    <w:rPr>
                      <w:bCs/>
                    </w:rPr>
                    <w:t>100</w:t>
                  </w:r>
                </w:p>
              </w:tc>
            </w:tr>
          </w:tbl>
          <w:p>
            <w:pPr>
              <w:adjustRightInd w:val="0"/>
              <w:snapToGrid w:val="0"/>
              <w:spacing w:beforeLines="100" w:line="360" w:lineRule="auto"/>
              <w:ind w:firstLine="482"/>
              <w:rPr>
                <w:b/>
                <w:bCs/>
                <w:sz w:val="24"/>
              </w:rPr>
            </w:pPr>
            <w:r>
              <w:rPr>
                <w:b/>
                <w:bCs/>
                <w:sz w:val="24"/>
              </w:rPr>
              <w:t>2、大气污染物</w:t>
            </w:r>
          </w:p>
          <w:p>
            <w:pPr>
              <w:adjustRightInd w:val="0"/>
              <w:snapToGrid w:val="0"/>
              <w:spacing w:line="360" w:lineRule="auto"/>
              <w:ind w:firstLine="480" w:firstLineChars="200"/>
              <w:rPr>
                <w:rFonts w:hint="eastAsia" w:eastAsia="宋体"/>
                <w:sz w:val="24"/>
                <w:lang w:eastAsia="zh-CN"/>
              </w:rPr>
            </w:pPr>
            <w:r>
              <w:rPr>
                <w:sz w:val="24"/>
              </w:rPr>
              <w:t>静电喷涂工序产生的粉尘，执行广东省《大气污染物排放限值》（DB44/27-2001）第二时段二级标准</w:t>
            </w:r>
            <w:r>
              <w:rPr>
                <w:rFonts w:hint="eastAsia"/>
                <w:sz w:val="24"/>
              </w:rPr>
              <w:t>及</w:t>
            </w:r>
            <w:r>
              <w:rPr>
                <w:sz w:val="24"/>
              </w:rPr>
              <w:t>无组织排放</w:t>
            </w:r>
            <w:r>
              <w:rPr>
                <w:rFonts w:hint="eastAsia"/>
                <w:sz w:val="24"/>
              </w:rPr>
              <w:t>限值</w:t>
            </w:r>
            <w:r>
              <w:rPr>
                <w:sz w:val="24"/>
              </w:rPr>
              <w:t>标准</w:t>
            </w:r>
            <w:r>
              <w:rPr>
                <w:rFonts w:hint="default" w:ascii="Times New Roman" w:hAnsi="Times New Roman" w:cs="Times New Roman"/>
                <w:sz w:val="24"/>
              </w:rPr>
              <w:t>，排气筒高度为15m</w:t>
            </w:r>
            <w:r>
              <w:rPr>
                <w:rFonts w:hint="eastAsia"/>
                <w:sz w:val="24"/>
                <w:lang w:eastAsia="zh-CN"/>
              </w:rPr>
              <w:t>；</w:t>
            </w:r>
          </w:p>
          <w:p>
            <w:pPr>
              <w:adjustRightInd w:val="0"/>
              <w:snapToGrid w:val="0"/>
              <w:spacing w:line="360" w:lineRule="auto"/>
              <w:ind w:firstLine="480" w:firstLineChars="200"/>
              <w:rPr>
                <w:rFonts w:hint="eastAsia" w:ascii="Times New Roman" w:hAnsi="Times New Roman" w:cs="Times New Roman"/>
                <w:sz w:val="24"/>
                <w:lang w:eastAsia="zh-CN"/>
              </w:rPr>
            </w:pPr>
            <w:r>
              <w:rPr>
                <w:sz w:val="24"/>
              </w:rPr>
              <w:t>燃烧废气执行</w:t>
            </w:r>
            <w:r>
              <w:rPr>
                <w:rFonts w:hint="eastAsia"/>
                <w:sz w:val="24"/>
              </w:rPr>
              <w:t>广东省《锅炉大气污染物排放标准》（DB 44/765-2019）</w:t>
            </w:r>
            <w:r>
              <w:rPr>
                <w:sz w:val="24"/>
              </w:rPr>
              <w:t>中新建燃气锅炉标准</w:t>
            </w:r>
            <w:r>
              <w:rPr>
                <w:rFonts w:hint="default" w:ascii="Times New Roman" w:hAnsi="Times New Roman" w:cs="Times New Roman"/>
                <w:sz w:val="24"/>
              </w:rPr>
              <w:t>，排气筒高度为15m</w:t>
            </w:r>
            <w:r>
              <w:rPr>
                <w:rFonts w:hint="eastAsia" w:ascii="Times New Roman" w:hAnsi="Times New Roman" w:cs="Times New Roman"/>
                <w:sz w:val="24"/>
                <w:lang w:eastAsia="zh-CN"/>
              </w:rPr>
              <w:t>；</w:t>
            </w:r>
          </w:p>
          <w:p>
            <w:pPr>
              <w:adjustRightInd w:val="0"/>
              <w:snapToGrid w:val="0"/>
              <w:spacing w:line="360" w:lineRule="auto"/>
              <w:ind w:firstLine="480" w:firstLineChars="200"/>
              <w:jc w:val="left"/>
              <w:rPr>
                <w:rFonts w:hint="default" w:ascii="Times New Roman" w:hAnsi="Times New Roman" w:cs="Times New Roman"/>
                <w:color w:val="FF0000"/>
                <w:sz w:val="24"/>
              </w:rPr>
            </w:pPr>
            <w:r>
              <w:rPr>
                <w:rFonts w:hint="eastAsia" w:cs="Times New Roman"/>
                <w:color w:val="FF0000"/>
                <w:sz w:val="24"/>
                <w:lang w:val="en-US" w:eastAsia="zh-CN"/>
              </w:rPr>
              <w:t>烘干工序中产生的</w:t>
            </w:r>
            <w:r>
              <w:rPr>
                <w:rFonts w:hint="default" w:ascii="Times New Roman" w:hAnsi="Times New Roman" w:cs="Times New Roman"/>
                <w:color w:val="FF0000"/>
                <w:sz w:val="24"/>
              </w:rPr>
              <w:t>固化废气主要污染物为VOC</w:t>
            </w:r>
            <w:r>
              <w:rPr>
                <w:rFonts w:hint="default" w:ascii="Times New Roman" w:hAnsi="Times New Roman" w:cs="Times New Roman"/>
                <w:color w:val="FF0000"/>
                <w:sz w:val="24"/>
                <w:vertAlign w:val="subscript"/>
              </w:rPr>
              <w:t>S</w:t>
            </w:r>
            <w:r>
              <w:rPr>
                <w:rFonts w:hint="default" w:ascii="Times New Roman" w:hAnsi="Times New Roman" w:cs="Times New Roman"/>
                <w:color w:val="FF0000"/>
                <w:sz w:val="24"/>
              </w:rPr>
              <w:t>，目前，广东省地方标准中关于挥发性有机物的排放标准主要有汽车制造业、家具制造业、印刷行业、制鞋行业等行业标准，其中以家具行业挥发性有机物的排放标准最为严格，因此，本项目VOC</w:t>
            </w:r>
            <w:r>
              <w:rPr>
                <w:rFonts w:hint="default" w:ascii="Times New Roman" w:hAnsi="Times New Roman" w:cs="Times New Roman"/>
                <w:color w:val="FF0000"/>
                <w:sz w:val="24"/>
                <w:vertAlign w:val="subscript"/>
              </w:rPr>
              <w:t>S</w:t>
            </w:r>
            <w:r>
              <w:rPr>
                <w:rFonts w:hint="default" w:ascii="Times New Roman" w:hAnsi="Times New Roman" w:cs="Times New Roman"/>
                <w:color w:val="FF0000"/>
                <w:sz w:val="24"/>
              </w:rPr>
              <w:t>的排放标准参照执行《家具制造行业挥发性有机化合物排放标准》（DB44/814-2010）第Ⅱ时段限值，排气筒高度为15m；</w:t>
            </w:r>
          </w:p>
          <w:p>
            <w:pPr>
              <w:adjustRightInd w:val="0"/>
              <w:snapToGrid w:val="0"/>
              <w:spacing w:line="360" w:lineRule="auto"/>
              <w:ind w:firstLine="480" w:firstLineChars="200"/>
              <w:jc w:val="left"/>
              <w:rPr>
                <w:b/>
                <w:bCs/>
              </w:rPr>
            </w:pPr>
            <w:r>
              <w:rPr>
                <w:rFonts w:hint="default" w:ascii="Times New Roman" w:hAnsi="Times New Roman" w:cs="Times New Roman"/>
                <w:color w:val="FF0000"/>
                <w:sz w:val="24"/>
              </w:rPr>
              <w:t>项目排气筒高度未能高于周围200m范围内建筑物5m以上，排放速率标准严格50%执行。</w:t>
            </w:r>
          </w:p>
          <w:p>
            <w:pPr>
              <w:adjustRightInd w:val="0"/>
              <w:snapToGrid w:val="0"/>
              <w:spacing w:line="360" w:lineRule="auto"/>
              <w:jc w:val="center"/>
              <w:rPr>
                <w:b/>
                <w:bCs/>
              </w:rPr>
            </w:pPr>
          </w:p>
          <w:p>
            <w:pPr>
              <w:adjustRightInd w:val="0"/>
              <w:snapToGrid w:val="0"/>
              <w:spacing w:line="360" w:lineRule="auto"/>
              <w:jc w:val="center"/>
              <w:rPr>
                <w:sz w:val="24"/>
              </w:rPr>
            </w:pPr>
            <w:r>
              <w:rPr>
                <w:b/>
                <w:bCs/>
              </w:rPr>
              <w:t>表</w:t>
            </w:r>
            <w:r>
              <w:rPr>
                <w:rFonts w:hint="eastAsia"/>
                <w:b/>
                <w:bCs/>
              </w:rPr>
              <w:t xml:space="preserve">4-4  </w:t>
            </w:r>
            <w:r>
              <w:rPr>
                <w:b/>
                <w:bCs/>
              </w:rPr>
              <w:t>本项目大气污染物排放标准（单位：浓度：mg/m</w:t>
            </w:r>
            <w:r>
              <w:rPr>
                <w:b/>
                <w:bCs/>
                <w:vertAlign w:val="superscript"/>
              </w:rPr>
              <w:t>3</w:t>
            </w:r>
            <w:r>
              <w:rPr>
                <w:b/>
                <w:bCs/>
              </w:rPr>
              <w:t>，速率：kg/h）</w:t>
            </w:r>
          </w:p>
          <w:tbl>
            <w:tblPr>
              <w:tblStyle w:val="15"/>
              <w:tblW w:w="78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1"/>
              <w:gridCol w:w="1230"/>
              <w:gridCol w:w="1549"/>
              <w:gridCol w:w="2186"/>
              <w:gridCol w:w="1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1631" w:type="dxa"/>
                  <w:vMerge w:val="restart"/>
                  <w:tcBorders>
                    <w:tl2br w:val="nil"/>
                    <w:tr2bl w:val="nil"/>
                  </w:tcBorders>
                  <w:vAlign w:val="center"/>
                </w:tcPr>
                <w:p>
                  <w:pPr>
                    <w:adjustRightInd w:val="0"/>
                    <w:snapToGrid w:val="0"/>
                    <w:jc w:val="center"/>
                    <w:rPr>
                      <w:szCs w:val="21"/>
                    </w:rPr>
                  </w:pPr>
                  <w:r>
                    <w:rPr>
                      <w:szCs w:val="21"/>
                    </w:rPr>
                    <w:t>类型</w:t>
                  </w:r>
                </w:p>
              </w:tc>
              <w:tc>
                <w:tcPr>
                  <w:tcW w:w="1230" w:type="dxa"/>
                  <w:vMerge w:val="restart"/>
                  <w:tcBorders>
                    <w:tl2br w:val="nil"/>
                    <w:tr2bl w:val="nil"/>
                  </w:tcBorders>
                  <w:vAlign w:val="center"/>
                </w:tcPr>
                <w:p>
                  <w:pPr>
                    <w:adjustRightInd w:val="0"/>
                    <w:snapToGrid w:val="0"/>
                    <w:jc w:val="center"/>
                    <w:rPr>
                      <w:szCs w:val="21"/>
                    </w:rPr>
                  </w:pPr>
                  <w:r>
                    <w:rPr>
                      <w:szCs w:val="21"/>
                    </w:rPr>
                    <w:t>污染物</w:t>
                  </w:r>
                </w:p>
              </w:tc>
              <w:tc>
                <w:tcPr>
                  <w:tcW w:w="3735" w:type="dxa"/>
                  <w:gridSpan w:val="2"/>
                  <w:tcBorders>
                    <w:tl2br w:val="nil"/>
                    <w:tr2bl w:val="nil"/>
                  </w:tcBorders>
                  <w:vAlign w:val="center"/>
                </w:tcPr>
                <w:p>
                  <w:pPr>
                    <w:adjustRightInd w:val="0"/>
                    <w:snapToGrid w:val="0"/>
                    <w:jc w:val="center"/>
                    <w:rPr>
                      <w:szCs w:val="21"/>
                    </w:rPr>
                  </w:pPr>
                  <w:r>
                    <w:rPr>
                      <w:szCs w:val="21"/>
                    </w:rPr>
                    <w:t>有组织排放</w:t>
                  </w:r>
                </w:p>
              </w:tc>
              <w:tc>
                <w:tcPr>
                  <w:tcW w:w="1244" w:type="dxa"/>
                  <w:vMerge w:val="restart"/>
                  <w:tcBorders>
                    <w:tl2br w:val="nil"/>
                    <w:tr2bl w:val="nil"/>
                  </w:tcBorders>
                  <w:vAlign w:val="center"/>
                </w:tcPr>
                <w:p>
                  <w:pPr>
                    <w:adjustRightInd w:val="0"/>
                    <w:snapToGrid w:val="0"/>
                    <w:jc w:val="center"/>
                    <w:rPr>
                      <w:szCs w:val="21"/>
                    </w:rPr>
                  </w:pPr>
                  <w:r>
                    <w:rPr>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5" w:hRule="atLeast"/>
                <w:jc w:val="center"/>
              </w:trPr>
              <w:tc>
                <w:tcPr>
                  <w:tcW w:w="1631" w:type="dxa"/>
                  <w:vMerge w:val="continue"/>
                  <w:tcBorders>
                    <w:tl2br w:val="nil"/>
                    <w:tr2bl w:val="nil"/>
                  </w:tcBorders>
                  <w:vAlign w:val="center"/>
                </w:tcPr>
                <w:p>
                  <w:pPr>
                    <w:adjustRightInd w:val="0"/>
                    <w:snapToGrid w:val="0"/>
                    <w:jc w:val="center"/>
                    <w:rPr>
                      <w:szCs w:val="21"/>
                    </w:rPr>
                  </w:pPr>
                </w:p>
              </w:tc>
              <w:tc>
                <w:tcPr>
                  <w:tcW w:w="1230" w:type="dxa"/>
                  <w:vMerge w:val="continue"/>
                  <w:tcBorders>
                    <w:tl2br w:val="nil"/>
                    <w:tr2bl w:val="nil"/>
                  </w:tcBorders>
                  <w:vAlign w:val="center"/>
                </w:tcPr>
                <w:p>
                  <w:pPr>
                    <w:adjustRightInd w:val="0"/>
                    <w:snapToGrid w:val="0"/>
                    <w:jc w:val="center"/>
                    <w:rPr>
                      <w:szCs w:val="21"/>
                    </w:rPr>
                  </w:pPr>
                </w:p>
              </w:tc>
              <w:tc>
                <w:tcPr>
                  <w:tcW w:w="1549" w:type="dxa"/>
                  <w:tcBorders>
                    <w:tl2br w:val="nil"/>
                    <w:tr2bl w:val="nil"/>
                  </w:tcBorders>
                  <w:vAlign w:val="center"/>
                </w:tcPr>
                <w:p>
                  <w:pPr>
                    <w:adjustRightInd w:val="0"/>
                    <w:snapToGrid w:val="0"/>
                    <w:jc w:val="center"/>
                    <w:rPr>
                      <w:szCs w:val="21"/>
                    </w:rPr>
                  </w:pPr>
                  <w:r>
                    <w:rPr>
                      <w:szCs w:val="21"/>
                    </w:rPr>
                    <w:t>最高允许排放浓度</w:t>
                  </w:r>
                </w:p>
              </w:tc>
              <w:tc>
                <w:tcPr>
                  <w:tcW w:w="2186" w:type="dxa"/>
                  <w:tcBorders>
                    <w:tl2br w:val="nil"/>
                    <w:tr2bl w:val="nil"/>
                  </w:tcBorders>
                  <w:vAlign w:val="center"/>
                </w:tcPr>
                <w:p>
                  <w:pPr>
                    <w:adjustRightInd w:val="0"/>
                    <w:snapToGrid w:val="0"/>
                    <w:jc w:val="center"/>
                    <w:rPr>
                      <w:szCs w:val="21"/>
                    </w:rPr>
                  </w:pPr>
                  <w:r>
                    <w:rPr>
                      <w:szCs w:val="21"/>
                    </w:rPr>
                    <w:t>排气筒最高允许排放速率</w:t>
                  </w:r>
                </w:p>
              </w:tc>
              <w:tc>
                <w:tcPr>
                  <w:tcW w:w="1244" w:type="dxa"/>
                  <w:vMerge w:val="continue"/>
                  <w:tcBorders>
                    <w:tl2br w:val="nil"/>
                    <w:tr2bl w:val="nil"/>
                  </w:tcBorders>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jc w:val="center"/>
              </w:trPr>
              <w:tc>
                <w:tcPr>
                  <w:tcW w:w="1631" w:type="dxa"/>
                  <w:tcBorders>
                    <w:tl2br w:val="nil"/>
                    <w:tr2bl w:val="nil"/>
                  </w:tcBorders>
                  <w:vAlign w:val="center"/>
                </w:tcPr>
                <w:p>
                  <w:pPr>
                    <w:adjustRightInd w:val="0"/>
                    <w:snapToGrid w:val="0"/>
                    <w:jc w:val="center"/>
                    <w:rPr>
                      <w:szCs w:val="21"/>
                    </w:rPr>
                  </w:pPr>
                  <w:r>
                    <w:rPr>
                      <w:szCs w:val="21"/>
                    </w:rPr>
                    <w:t>喷粉粉尘</w:t>
                  </w:r>
                </w:p>
              </w:tc>
              <w:tc>
                <w:tcPr>
                  <w:tcW w:w="1230" w:type="dxa"/>
                  <w:tcBorders>
                    <w:tl2br w:val="nil"/>
                    <w:tr2bl w:val="nil"/>
                  </w:tcBorders>
                  <w:vAlign w:val="center"/>
                </w:tcPr>
                <w:p>
                  <w:pPr>
                    <w:adjustRightInd w:val="0"/>
                    <w:snapToGrid w:val="0"/>
                    <w:jc w:val="center"/>
                    <w:rPr>
                      <w:szCs w:val="21"/>
                    </w:rPr>
                  </w:pPr>
                  <w:r>
                    <w:rPr>
                      <w:szCs w:val="21"/>
                    </w:rPr>
                    <w:t>颗粒物</w:t>
                  </w:r>
                </w:p>
              </w:tc>
              <w:tc>
                <w:tcPr>
                  <w:tcW w:w="1549" w:type="dxa"/>
                  <w:tcBorders>
                    <w:tl2br w:val="nil"/>
                    <w:tr2bl w:val="nil"/>
                  </w:tcBorders>
                  <w:vAlign w:val="center"/>
                </w:tcPr>
                <w:p>
                  <w:pPr>
                    <w:adjustRightInd w:val="0"/>
                    <w:snapToGrid w:val="0"/>
                    <w:jc w:val="center"/>
                    <w:rPr>
                      <w:szCs w:val="21"/>
                    </w:rPr>
                  </w:pPr>
                  <w:r>
                    <w:rPr>
                      <w:szCs w:val="21"/>
                    </w:rPr>
                    <w:t>120</w:t>
                  </w:r>
                </w:p>
              </w:tc>
              <w:tc>
                <w:tcPr>
                  <w:tcW w:w="2186" w:type="dxa"/>
                  <w:tcBorders>
                    <w:tl2br w:val="nil"/>
                    <w:tr2bl w:val="nil"/>
                  </w:tcBorders>
                  <w:vAlign w:val="center"/>
                </w:tcPr>
                <w:p>
                  <w:pPr>
                    <w:adjustRightInd w:val="0"/>
                    <w:snapToGrid w:val="0"/>
                    <w:jc w:val="center"/>
                    <w:rPr>
                      <w:rFonts w:hint="default" w:eastAsia="宋体"/>
                      <w:szCs w:val="21"/>
                      <w:lang w:val="en-US" w:eastAsia="zh-CN"/>
                    </w:rPr>
                  </w:pPr>
                  <w:r>
                    <w:rPr>
                      <w:rFonts w:hint="eastAsia"/>
                      <w:szCs w:val="21"/>
                      <w:lang w:val="en-US" w:eastAsia="zh-CN"/>
                    </w:rPr>
                    <w:t>1.45</w:t>
                  </w:r>
                </w:p>
              </w:tc>
              <w:tc>
                <w:tcPr>
                  <w:tcW w:w="1244" w:type="dxa"/>
                  <w:tcBorders>
                    <w:tl2br w:val="nil"/>
                    <w:tr2bl w:val="nil"/>
                  </w:tcBorders>
                  <w:vAlign w:val="center"/>
                </w:tcPr>
                <w:p>
                  <w:pPr>
                    <w:adjustRightInd w:val="0"/>
                    <w:snapToGrid w:val="0"/>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8" w:hRule="atLeast"/>
                <w:jc w:val="center"/>
              </w:trPr>
              <w:tc>
                <w:tcPr>
                  <w:tcW w:w="1631" w:type="dxa"/>
                  <w:vMerge w:val="restart"/>
                  <w:tcBorders>
                    <w:tl2br w:val="nil"/>
                    <w:tr2bl w:val="nil"/>
                  </w:tcBorders>
                  <w:vAlign w:val="center"/>
                </w:tcPr>
                <w:p>
                  <w:pPr>
                    <w:adjustRightInd w:val="0"/>
                    <w:snapToGrid w:val="0"/>
                    <w:jc w:val="center"/>
                    <w:rPr>
                      <w:szCs w:val="21"/>
                    </w:rPr>
                  </w:pPr>
                  <w:r>
                    <w:rPr>
                      <w:szCs w:val="21"/>
                    </w:rPr>
                    <w:t>燃烧器废气</w:t>
                  </w:r>
                </w:p>
              </w:tc>
              <w:tc>
                <w:tcPr>
                  <w:tcW w:w="1230" w:type="dxa"/>
                  <w:tcBorders>
                    <w:tl2br w:val="nil"/>
                    <w:tr2bl w:val="nil"/>
                  </w:tcBorders>
                  <w:vAlign w:val="center"/>
                </w:tcPr>
                <w:p>
                  <w:pPr>
                    <w:adjustRightInd w:val="0"/>
                    <w:snapToGrid w:val="0"/>
                    <w:rPr>
                      <w:szCs w:val="21"/>
                    </w:rPr>
                  </w:pPr>
                  <w:r>
                    <w:rPr>
                      <w:rFonts w:hint="eastAsia"/>
                      <w:szCs w:val="21"/>
                    </w:rPr>
                    <w:t>颗粒物</w:t>
                  </w:r>
                </w:p>
              </w:tc>
              <w:tc>
                <w:tcPr>
                  <w:tcW w:w="1549" w:type="dxa"/>
                  <w:tcBorders>
                    <w:tl2br w:val="nil"/>
                    <w:tr2bl w:val="nil"/>
                  </w:tcBorders>
                  <w:vAlign w:val="center"/>
                </w:tcPr>
                <w:p>
                  <w:pPr>
                    <w:adjustRightInd w:val="0"/>
                    <w:snapToGrid w:val="0"/>
                    <w:jc w:val="center"/>
                    <w:rPr>
                      <w:szCs w:val="21"/>
                    </w:rPr>
                  </w:pPr>
                  <w:r>
                    <w:rPr>
                      <w:rFonts w:hint="eastAsia"/>
                      <w:szCs w:val="21"/>
                    </w:rPr>
                    <w:t>20</w:t>
                  </w:r>
                </w:p>
              </w:tc>
              <w:tc>
                <w:tcPr>
                  <w:tcW w:w="2186" w:type="dxa"/>
                  <w:tcBorders>
                    <w:tl2br w:val="nil"/>
                    <w:tr2bl w:val="nil"/>
                  </w:tcBorders>
                  <w:vAlign w:val="center"/>
                </w:tcPr>
                <w:p>
                  <w:pPr>
                    <w:adjustRightInd w:val="0"/>
                    <w:snapToGrid w:val="0"/>
                    <w:jc w:val="center"/>
                    <w:rPr>
                      <w:szCs w:val="21"/>
                    </w:rPr>
                  </w:pPr>
                  <w:r>
                    <w:rPr>
                      <w:szCs w:val="21"/>
                    </w:rPr>
                    <w:t>--</w:t>
                  </w:r>
                </w:p>
              </w:tc>
              <w:tc>
                <w:tcPr>
                  <w:tcW w:w="1244" w:type="dxa"/>
                  <w:tcBorders>
                    <w:tl2br w:val="nil"/>
                    <w:tr2bl w:val="nil"/>
                  </w:tcBorders>
                  <w:vAlign w:val="center"/>
                </w:tcPr>
                <w:p>
                  <w:pPr>
                    <w:adjustRightInd w:val="0"/>
                    <w:snapToGrid w:val="0"/>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631" w:type="dxa"/>
                  <w:vMerge w:val="continue"/>
                  <w:tcBorders>
                    <w:tl2br w:val="nil"/>
                    <w:tr2bl w:val="nil"/>
                  </w:tcBorders>
                  <w:vAlign w:val="center"/>
                </w:tcPr>
                <w:p>
                  <w:pPr>
                    <w:adjustRightInd w:val="0"/>
                    <w:snapToGrid w:val="0"/>
                    <w:jc w:val="center"/>
                    <w:rPr>
                      <w:szCs w:val="21"/>
                    </w:rPr>
                  </w:pPr>
                </w:p>
              </w:tc>
              <w:tc>
                <w:tcPr>
                  <w:tcW w:w="1230" w:type="dxa"/>
                  <w:tcBorders>
                    <w:tl2br w:val="nil"/>
                    <w:tr2bl w:val="nil"/>
                  </w:tcBorders>
                  <w:vAlign w:val="center"/>
                </w:tcPr>
                <w:p>
                  <w:pPr>
                    <w:adjustRightInd w:val="0"/>
                    <w:snapToGrid w:val="0"/>
                    <w:jc w:val="center"/>
                    <w:rPr>
                      <w:szCs w:val="21"/>
                    </w:rPr>
                  </w:pPr>
                  <w:r>
                    <w:rPr>
                      <w:szCs w:val="21"/>
                    </w:rPr>
                    <w:t>SO</w:t>
                  </w:r>
                  <w:r>
                    <w:rPr>
                      <w:szCs w:val="21"/>
                      <w:vertAlign w:val="subscript"/>
                    </w:rPr>
                    <w:t>2</w:t>
                  </w:r>
                </w:p>
              </w:tc>
              <w:tc>
                <w:tcPr>
                  <w:tcW w:w="1549" w:type="dxa"/>
                  <w:tcBorders>
                    <w:tl2br w:val="nil"/>
                    <w:tr2bl w:val="nil"/>
                  </w:tcBorders>
                  <w:vAlign w:val="center"/>
                </w:tcPr>
                <w:p>
                  <w:pPr>
                    <w:adjustRightInd w:val="0"/>
                    <w:snapToGrid w:val="0"/>
                    <w:jc w:val="center"/>
                    <w:rPr>
                      <w:szCs w:val="21"/>
                    </w:rPr>
                  </w:pPr>
                  <w:r>
                    <w:rPr>
                      <w:rFonts w:hint="eastAsia"/>
                      <w:szCs w:val="21"/>
                    </w:rPr>
                    <w:t>50</w:t>
                  </w:r>
                </w:p>
              </w:tc>
              <w:tc>
                <w:tcPr>
                  <w:tcW w:w="2186" w:type="dxa"/>
                  <w:tcBorders>
                    <w:tl2br w:val="nil"/>
                    <w:tr2bl w:val="nil"/>
                  </w:tcBorders>
                  <w:vAlign w:val="center"/>
                </w:tcPr>
                <w:p>
                  <w:pPr>
                    <w:adjustRightInd w:val="0"/>
                    <w:snapToGrid w:val="0"/>
                    <w:jc w:val="center"/>
                    <w:rPr>
                      <w:szCs w:val="21"/>
                    </w:rPr>
                  </w:pPr>
                  <w:r>
                    <w:rPr>
                      <w:szCs w:val="21"/>
                    </w:rPr>
                    <w:t>--</w:t>
                  </w:r>
                </w:p>
              </w:tc>
              <w:tc>
                <w:tcPr>
                  <w:tcW w:w="1244" w:type="dxa"/>
                  <w:tcBorders>
                    <w:tl2br w:val="nil"/>
                    <w:tr2bl w:val="nil"/>
                  </w:tcBorders>
                  <w:vAlign w:val="center"/>
                </w:tcPr>
                <w:p>
                  <w:pPr>
                    <w:adjustRightInd w:val="0"/>
                    <w:snapToGrid w:val="0"/>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4" w:hRule="atLeast"/>
                <w:jc w:val="center"/>
              </w:trPr>
              <w:tc>
                <w:tcPr>
                  <w:tcW w:w="1631" w:type="dxa"/>
                  <w:vMerge w:val="continue"/>
                  <w:tcBorders>
                    <w:tl2br w:val="nil"/>
                    <w:tr2bl w:val="nil"/>
                  </w:tcBorders>
                  <w:vAlign w:val="center"/>
                </w:tcPr>
                <w:p>
                  <w:pPr>
                    <w:adjustRightInd w:val="0"/>
                    <w:snapToGrid w:val="0"/>
                    <w:jc w:val="center"/>
                    <w:rPr>
                      <w:szCs w:val="21"/>
                    </w:rPr>
                  </w:pPr>
                </w:p>
              </w:tc>
              <w:tc>
                <w:tcPr>
                  <w:tcW w:w="1230" w:type="dxa"/>
                  <w:tcBorders>
                    <w:tl2br w:val="nil"/>
                    <w:tr2bl w:val="nil"/>
                  </w:tcBorders>
                  <w:vAlign w:val="center"/>
                </w:tcPr>
                <w:p>
                  <w:pPr>
                    <w:adjustRightInd w:val="0"/>
                    <w:snapToGrid w:val="0"/>
                    <w:jc w:val="center"/>
                    <w:rPr>
                      <w:szCs w:val="21"/>
                    </w:rPr>
                  </w:pPr>
                  <w:r>
                    <w:rPr>
                      <w:szCs w:val="21"/>
                    </w:rPr>
                    <w:t>NO</w:t>
                  </w:r>
                  <w:r>
                    <w:rPr>
                      <w:szCs w:val="21"/>
                      <w:vertAlign w:val="subscript"/>
                    </w:rPr>
                    <w:t>X</w:t>
                  </w:r>
                </w:p>
              </w:tc>
              <w:tc>
                <w:tcPr>
                  <w:tcW w:w="1549" w:type="dxa"/>
                  <w:tcBorders>
                    <w:tl2br w:val="nil"/>
                    <w:tr2bl w:val="nil"/>
                  </w:tcBorders>
                  <w:vAlign w:val="center"/>
                </w:tcPr>
                <w:p>
                  <w:pPr>
                    <w:adjustRightInd w:val="0"/>
                    <w:snapToGrid w:val="0"/>
                    <w:jc w:val="center"/>
                    <w:rPr>
                      <w:szCs w:val="21"/>
                    </w:rPr>
                  </w:pPr>
                  <w:r>
                    <w:rPr>
                      <w:rFonts w:hint="eastAsia"/>
                      <w:szCs w:val="21"/>
                    </w:rPr>
                    <w:t>15</w:t>
                  </w:r>
                  <w:r>
                    <w:rPr>
                      <w:szCs w:val="21"/>
                    </w:rPr>
                    <w:t>0</w:t>
                  </w:r>
                </w:p>
              </w:tc>
              <w:tc>
                <w:tcPr>
                  <w:tcW w:w="2186" w:type="dxa"/>
                  <w:tcBorders>
                    <w:tl2br w:val="nil"/>
                    <w:tr2bl w:val="nil"/>
                  </w:tcBorders>
                  <w:vAlign w:val="center"/>
                </w:tcPr>
                <w:p>
                  <w:pPr>
                    <w:adjustRightInd w:val="0"/>
                    <w:snapToGrid w:val="0"/>
                    <w:jc w:val="center"/>
                    <w:rPr>
                      <w:szCs w:val="21"/>
                    </w:rPr>
                  </w:pPr>
                  <w:r>
                    <w:rPr>
                      <w:szCs w:val="21"/>
                    </w:rPr>
                    <w:t>--</w:t>
                  </w:r>
                </w:p>
              </w:tc>
              <w:tc>
                <w:tcPr>
                  <w:tcW w:w="1244" w:type="dxa"/>
                  <w:tcBorders>
                    <w:tl2br w:val="nil"/>
                    <w:tr2bl w:val="nil"/>
                  </w:tcBorders>
                  <w:vAlign w:val="center"/>
                </w:tcPr>
                <w:p>
                  <w:pPr>
                    <w:adjustRightInd w:val="0"/>
                    <w:snapToGrid w:val="0"/>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jc w:val="center"/>
              </w:trPr>
              <w:tc>
                <w:tcPr>
                  <w:tcW w:w="1631" w:type="dxa"/>
                  <w:tcBorders>
                    <w:tl2br w:val="nil"/>
                    <w:tr2bl w:val="nil"/>
                  </w:tcBorders>
                  <w:vAlign w:val="center"/>
                </w:tcPr>
                <w:p>
                  <w:pPr>
                    <w:adjustRightInd w:val="0"/>
                    <w:snapToGrid w:val="0"/>
                    <w:jc w:val="center"/>
                    <w:rPr>
                      <w:szCs w:val="21"/>
                    </w:rPr>
                  </w:pPr>
                  <w:r>
                    <w:rPr>
                      <w:szCs w:val="21"/>
                    </w:rPr>
                    <w:t>固化废气</w:t>
                  </w:r>
                </w:p>
              </w:tc>
              <w:tc>
                <w:tcPr>
                  <w:tcW w:w="1230" w:type="dxa"/>
                  <w:tcBorders>
                    <w:tl2br w:val="nil"/>
                    <w:tr2bl w:val="nil"/>
                  </w:tcBorders>
                  <w:vAlign w:val="center"/>
                </w:tcPr>
                <w:p>
                  <w:pPr>
                    <w:adjustRightInd w:val="0"/>
                    <w:snapToGrid w:val="0"/>
                    <w:jc w:val="center"/>
                    <w:rPr>
                      <w:szCs w:val="21"/>
                    </w:rPr>
                  </w:pPr>
                  <w:r>
                    <w:rPr>
                      <w:szCs w:val="21"/>
                    </w:rPr>
                    <w:t>VOCs</w:t>
                  </w:r>
                </w:p>
              </w:tc>
              <w:tc>
                <w:tcPr>
                  <w:tcW w:w="1549" w:type="dxa"/>
                  <w:tcBorders>
                    <w:tl2br w:val="nil"/>
                    <w:tr2bl w:val="nil"/>
                  </w:tcBorders>
                  <w:vAlign w:val="center"/>
                </w:tcPr>
                <w:p>
                  <w:pPr>
                    <w:adjustRightInd w:val="0"/>
                    <w:snapToGrid w:val="0"/>
                    <w:jc w:val="center"/>
                    <w:rPr>
                      <w:rFonts w:hint="default" w:eastAsia="宋体"/>
                      <w:color w:val="FF0000"/>
                      <w:szCs w:val="21"/>
                      <w:lang w:val="en-US" w:eastAsia="zh-CN"/>
                    </w:rPr>
                  </w:pPr>
                  <w:r>
                    <w:rPr>
                      <w:rFonts w:hint="eastAsia"/>
                      <w:color w:val="FF0000"/>
                      <w:szCs w:val="21"/>
                      <w:lang w:val="en-US" w:eastAsia="zh-CN"/>
                    </w:rPr>
                    <w:t>30</w:t>
                  </w:r>
                </w:p>
              </w:tc>
              <w:tc>
                <w:tcPr>
                  <w:tcW w:w="2186" w:type="dxa"/>
                  <w:tcBorders>
                    <w:tl2br w:val="nil"/>
                    <w:tr2bl w:val="nil"/>
                  </w:tcBorders>
                  <w:vAlign w:val="center"/>
                </w:tcPr>
                <w:p>
                  <w:pPr>
                    <w:adjustRightInd w:val="0"/>
                    <w:snapToGrid w:val="0"/>
                    <w:jc w:val="center"/>
                    <w:rPr>
                      <w:color w:val="FF0000"/>
                      <w:szCs w:val="21"/>
                    </w:rPr>
                  </w:pPr>
                  <w:r>
                    <w:rPr>
                      <w:rFonts w:hint="eastAsia"/>
                      <w:color w:val="FF0000"/>
                      <w:szCs w:val="21"/>
                      <w:lang w:val="en-US" w:eastAsia="zh-CN"/>
                    </w:rPr>
                    <w:t>1.45</w:t>
                  </w:r>
                </w:p>
              </w:tc>
              <w:tc>
                <w:tcPr>
                  <w:tcW w:w="1244" w:type="dxa"/>
                  <w:tcBorders>
                    <w:tl2br w:val="nil"/>
                    <w:tr2bl w:val="nil"/>
                  </w:tcBorders>
                  <w:vAlign w:val="center"/>
                </w:tcPr>
                <w:p>
                  <w:pPr>
                    <w:adjustRightInd w:val="0"/>
                    <w:snapToGrid w:val="0"/>
                    <w:jc w:val="center"/>
                    <w:rPr>
                      <w:szCs w:val="21"/>
                    </w:rPr>
                  </w:pPr>
                  <w:r>
                    <w:rPr>
                      <w:szCs w:val="21"/>
                    </w:rPr>
                    <w:t>2.0</w:t>
                  </w:r>
                </w:p>
              </w:tc>
            </w:tr>
          </w:tbl>
          <w:p>
            <w:pPr>
              <w:adjustRightInd w:val="0"/>
              <w:snapToGrid w:val="0"/>
              <w:spacing w:line="360" w:lineRule="auto"/>
              <w:ind w:firstLine="482" w:firstLineChars="200"/>
              <w:rPr>
                <w:b/>
                <w:sz w:val="24"/>
              </w:rPr>
            </w:pPr>
            <w:r>
              <w:rPr>
                <w:b/>
                <w:sz w:val="24"/>
              </w:rPr>
              <w:t>3、噪声</w:t>
            </w:r>
          </w:p>
          <w:p>
            <w:pPr>
              <w:adjustRightInd w:val="0"/>
              <w:snapToGrid w:val="0"/>
              <w:spacing w:line="360" w:lineRule="auto"/>
              <w:ind w:firstLine="482"/>
              <w:rPr>
                <w:sz w:val="24"/>
              </w:rPr>
            </w:pPr>
            <w:r>
              <w:rPr>
                <w:sz w:val="24"/>
              </w:rPr>
              <w:t>项目四周边界噪声排放执行《工业企业厂界环境噪声排放标准》（GB12348-2008）的</w:t>
            </w:r>
            <w:r>
              <w:rPr>
                <w:rFonts w:hint="eastAsia"/>
                <w:sz w:val="24"/>
              </w:rPr>
              <w:t>2</w:t>
            </w:r>
            <w:r>
              <w:rPr>
                <w:sz w:val="24"/>
              </w:rPr>
              <w:t>类标准，即昼间≤6</w:t>
            </w:r>
            <w:r>
              <w:rPr>
                <w:rFonts w:hint="eastAsia"/>
                <w:sz w:val="24"/>
              </w:rPr>
              <w:t>0</w:t>
            </w:r>
            <w:r>
              <w:rPr>
                <w:sz w:val="24"/>
              </w:rPr>
              <w:t>dB（A），夜间≤5</w:t>
            </w:r>
            <w:r>
              <w:rPr>
                <w:rFonts w:hint="eastAsia"/>
                <w:sz w:val="24"/>
              </w:rPr>
              <w:t>0</w:t>
            </w:r>
            <w:r>
              <w:rPr>
                <w:sz w:val="24"/>
              </w:rPr>
              <w:t>dB（A）；</w:t>
            </w:r>
          </w:p>
          <w:p>
            <w:pPr>
              <w:snapToGrid w:val="0"/>
              <w:spacing w:line="360" w:lineRule="auto"/>
              <w:ind w:firstLine="482" w:firstLineChars="200"/>
              <w:rPr>
                <w:b/>
                <w:sz w:val="24"/>
              </w:rPr>
            </w:pPr>
            <w:r>
              <w:rPr>
                <w:b/>
                <w:sz w:val="24"/>
              </w:rPr>
              <w:t>4、固体废物</w:t>
            </w:r>
          </w:p>
          <w:p>
            <w:pPr>
              <w:spacing w:line="360" w:lineRule="auto"/>
              <w:ind w:firstLine="480" w:firstLineChars="200"/>
              <w:rPr>
                <w:sz w:val="24"/>
              </w:rPr>
            </w:pPr>
            <w:r>
              <w:rPr>
                <w:sz w:val="24"/>
              </w:rPr>
              <w:t>一般工业固体废物执行《一般工业固体废物贮存、处置场污染控制标准》（GB18599-2001）及2013年修改单要求，危险废物执行《危险废物贮存污染控制标准》（GB18597-2001）及2013年修改单要求，以及《中华人民共和国固体废物污染环境防治法》（2004年4月12日修订）中的有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73" w:hRule="atLeast"/>
        </w:trPr>
        <w:tc>
          <w:tcPr>
            <w:tcW w:w="386" w:type="dxa"/>
            <w:vAlign w:val="center"/>
          </w:tcPr>
          <w:p>
            <w:pPr>
              <w:jc w:val="center"/>
              <w:rPr>
                <w:b/>
                <w:bCs/>
                <w:sz w:val="24"/>
              </w:rPr>
            </w:pPr>
            <w:r>
              <w:rPr>
                <w:rFonts w:hint="eastAsia"/>
                <w:b/>
                <w:bCs/>
                <w:sz w:val="24"/>
              </w:rPr>
              <w:t>总量控制指标</w:t>
            </w:r>
          </w:p>
        </w:tc>
        <w:tc>
          <w:tcPr>
            <w:tcW w:w="8136" w:type="dxa"/>
          </w:tcPr>
          <w:p>
            <w:pPr>
              <w:pStyle w:val="21"/>
            </w:pPr>
          </w:p>
          <w:p>
            <w:pPr>
              <w:pStyle w:val="21"/>
            </w:pPr>
          </w:p>
          <w:p>
            <w:pPr>
              <w:pStyle w:val="21"/>
              <w:ind w:firstLine="482" w:firstLineChars="200"/>
              <w:rPr>
                <w:b/>
                <w:bCs/>
              </w:rPr>
            </w:pPr>
            <w:r>
              <w:rPr>
                <w:b/>
                <w:bCs/>
              </w:rPr>
              <w:t>（1）废水总量控制指标</w:t>
            </w:r>
          </w:p>
          <w:p>
            <w:pPr>
              <w:pStyle w:val="21"/>
            </w:pPr>
            <w:r>
              <w:t>本项目属于龙归污水处理厂的纳污范围，而龙归污水处理厂污染物排放已纳入总量控制，因此本项目不再设总量控制指标。</w:t>
            </w:r>
          </w:p>
          <w:p>
            <w:pPr>
              <w:pStyle w:val="21"/>
              <w:ind w:firstLine="417"/>
              <w:rPr>
                <w:b/>
                <w:bCs/>
              </w:rPr>
            </w:pPr>
            <w:r>
              <w:rPr>
                <w:b/>
                <w:bCs/>
              </w:rPr>
              <w:t>（2）废气排放量控制指标</w:t>
            </w:r>
          </w:p>
          <w:p>
            <w:pPr>
              <w:adjustRightInd w:val="0"/>
              <w:snapToGrid w:val="0"/>
              <w:spacing w:line="360" w:lineRule="auto"/>
              <w:ind w:firstLine="480" w:firstLineChars="200"/>
              <w:rPr>
                <w:rFonts w:hint="default" w:eastAsia="宋体"/>
                <w:color w:val="FF0000"/>
                <w:sz w:val="24"/>
                <w:lang w:val="en-US" w:eastAsia="zh-CN"/>
              </w:rPr>
            </w:pPr>
            <w:r>
              <w:rPr>
                <w:rFonts w:hint="eastAsia"/>
                <w:color w:val="FF0000"/>
                <w:sz w:val="24"/>
                <w:lang w:val="en-US" w:eastAsia="zh-CN"/>
              </w:rPr>
              <w:t>废气量：9600万Nm</w:t>
            </w:r>
            <w:r>
              <w:rPr>
                <w:rFonts w:hint="eastAsia"/>
                <w:color w:val="FF0000"/>
                <w:sz w:val="24"/>
                <w:vertAlign w:val="superscript"/>
                <w:lang w:val="en-US" w:eastAsia="zh-CN"/>
              </w:rPr>
              <w:t>3</w:t>
            </w:r>
            <w:r>
              <w:rPr>
                <w:rFonts w:hint="eastAsia"/>
                <w:color w:val="FF0000"/>
                <w:sz w:val="24"/>
                <w:lang w:val="en-US" w:eastAsia="zh-CN"/>
              </w:rPr>
              <w:t>/a；</w:t>
            </w:r>
          </w:p>
          <w:p>
            <w:pPr>
              <w:adjustRightInd w:val="0"/>
              <w:snapToGrid w:val="0"/>
              <w:spacing w:line="360" w:lineRule="auto"/>
              <w:ind w:firstLine="480" w:firstLineChars="200"/>
              <w:rPr>
                <w:color w:val="FF0000"/>
              </w:rPr>
            </w:pPr>
            <w:r>
              <w:rPr>
                <w:color w:val="FF0000"/>
                <w:sz w:val="24"/>
                <w:szCs w:val="24"/>
              </w:rPr>
              <w:t>VOCs</w:t>
            </w:r>
            <w:r>
              <w:rPr>
                <w:rFonts w:hint="eastAsia"/>
                <w:color w:val="FF0000"/>
                <w:sz w:val="24"/>
                <w:szCs w:val="24"/>
                <w:lang w:eastAsia="zh-CN"/>
              </w:rPr>
              <w:t>：</w:t>
            </w:r>
            <w:r>
              <w:rPr>
                <w:rFonts w:hint="default" w:ascii="Times New Roman" w:hAnsi="Times New Roman" w:eastAsia="宋体" w:cs="Times New Roman"/>
                <w:i w:val="0"/>
                <w:color w:val="FF0000"/>
                <w:kern w:val="0"/>
                <w:sz w:val="24"/>
                <w:szCs w:val="24"/>
                <w:u w:val="none"/>
                <w:lang w:val="en-US" w:eastAsia="zh-CN" w:bidi="ar"/>
              </w:rPr>
              <w:t>0.0108</w:t>
            </w:r>
            <w:r>
              <w:rPr>
                <w:color w:val="FF0000"/>
                <w:sz w:val="24"/>
                <w:szCs w:val="24"/>
              </w:rPr>
              <w:t>t/a</w:t>
            </w:r>
            <w:r>
              <w:rPr>
                <w:rFonts w:hint="eastAsia"/>
                <w:color w:val="FF0000"/>
                <w:sz w:val="24"/>
                <w:szCs w:val="24"/>
                <w:lang w:eastAsia="zh-CN"/>
              </w:rPr>
              <w:t>；</w:t>
            </w:r>
            <w:r>
              <w:rPr>
                <w:rFonts w:hint="eastAsia"/>
                <w:color w:val="FF0000"/>
                <w:sz w:val="24"/>
                <w:szCs w:val="24"/>
                <w:lang w:val="en-US" w:eastAsia="zh-CN"/>
              </w:rPr>
              <w:t>TSP</w:t>
            </w:r>
            <w:r>
              <w:rPr>
                <w:rFonts w:hint="eastAsia"/>
                <w:color w:val="FF0000"/>
                <w:sz w:val="24"/>
                <w:szCs w:val="24"/>
                <w:lang w:eastAsia="zh-CN"/>
              </w:rPr>
              <w:t>：</w:t>
            </w:r>
            <w:r>
              <w:rPr>
                <w:rFonts w:hint="eastAsia" w:ascii="Times New Roman" w:hAnsi="Times New Roman" w:eastAsia="宋体" w:cs="Times New Roman"/>
                <w:i w:val="0"/>
                <w:color w:val="FF0000"/>
                <w:kern w:val="0"/>
                <w:sz w:val="24"/>
                <w:szCs w:val="24"/>
                <w:u w:val="none"/>
                <w:lang w:val="en-US" w:eastAsia="zh-CN" w:bidi="ar"/>
              </w:rPr>
              <w:t>0.1482</w:t>
            </w:r>
            <w:r>
              <w:rPr>
                <w:color w:val="FF0000"/>
                <w:sz w:val="24"/>
                <w:szCs w:val="24"/>
              </w:rPr>
              <w:t>t/a</w:t>
            </w:r>
            <w:r>
              <w:rPr>
                <w:rFonts w:hint="eastAsia"/>
                <w:color w:val="FF0000"/>
                <w:sz w:val="24"/>
                <w:szCs w:val="24"/>
                <w:lang w:eastAsia="zh-CN"/>
              </w:rPr>
              <w:t>（</w:t>
            </w:r>
            <w:r>
              <w:rPr>
                <w:rFonts w:hint="eastAsia"/>
                <w:color w:val="FF0000"/>
                <w:sz w:val="24"/>
                <w:szCs w:val="24"/>
                <w:lang w:val="en-US" w:eastAsia="zh-CN"/>
              </w:rPr>
              <w:t>含喷粉粉尘0.147t/a、燃烧废气烟尘0.0012</w:t>
            </w:r>
            <w:r>
              <w:rPr>
                <w:color w:val="FF0000"/>
                <w:sz w:val="24"/>
                <w:szCs w:val="24"/>
              </w:rPr>
              <w:t>t/a</w:t>
            </w:r>
            <w:r>
              <w:rPr>
                <w:rFonts w:hint="eastAsia"/>
                <w:color w:val="FF0000"/>
                <w:sz w:val="24"/>
                <w:szCs w:val="24"/>
                <w:lang w:eastAsia="zh-CN"/>
              </w:rPr>
              <w:t>）；</w:t>
            </w:r>
            <w:r>
              <w:rPr>
                <w:color w:val="FF0000"/>
                <w:sz w:val="24"/>
                <w:szCs w:val="24"/>
              </w:rPr>
              <w:t>NOx</w:t>
            </w:r>
            <w:r>
              <w:rPr>
                <w:rFonts w:hint="eastAsia"/>
                <w:color w:val="FF0000"/>
                <w:sz w:val="24"/>
                <w:szCs w:val="24"/>
                <w:lang w:eastAsia="zh-CN"/>
              </w:rPr>
              <w:t>：</w:t>
            </w:r>
            <w:r>
              <w:rPr>
                <w:rFonts w:hint="eastAsia" w:cs="Times New Roman"/>
                <w:i w:val="0"/>
                <w:color w:val="FF0000"/>
                <w:kern w:val="0"/>
                <w:sz w:val="24"/>
                <w:szCs w:val="24"/>
                <w:u w:val="none"/>
                <w:lang w:val="en-US" w:eastAsia="zh-CN" w:bidi="ar"/>
              </w:rPr>
              <w:t>0.00</w:t>
            </w:r>
            <w:r>
              <w:rPr>
                <w:rFonts w:hint="default" w:ascii="Times New Roman" w:hAnsi="Times New Roman" w:eastAsia="宋体" w:cs="Times New Roman"/>
                <w:i w:val="0"/>
                <w:color w:val="FF0000"/>
                <w:kern w:val="0"/>
                <w:sz w:val="24"/>
                <w:szCs w:val="24"/>
                <w:u w:val="none"/>
                <w:lang w:val="en-US" w:eastAsia="zh-CN" w:bidi="ar"/>
              </w:rPr>
              <w:t>315</w:t>
            </w:r>
            <w:r>
              <w:rPr>
                <w:color w:val="FF0000"/>
                <w:kern w:val="0"/>
                <w:sz w:val="24"/>
                <w:szCs w:val="24"/>
              </w:rPr>
              <w:t>t/a</w:t>
            </w:r>
            <w:r>
              <w:rPr>
                <w:rFonts w:hint="eastAsia"/>
                <w:color w:val="FF0000"/>
                <w:sz w:val="24"/>
                <w:szCs w:val="24"/>
                <w:lang w:eastAsia="zh-CN"/>
              </w:rPr>
              <w:t>；</w:t>
            </w:r>
            <w:r>
              <w:rPr>
                <w:color w:val="FF0000"/>
                <w:sz w:val="24"/>
                <w:szCs w:val="24"/>
              </w:rPr>
              <w:t>SO</w:t>
            </w:r>
            <w:r>
              <w:rPr>
                <w:color w:val="FF0000"/>
                <w:sz w:val="24"/>
                <w:szCs w:val="24"/>
                <w:vertAlign w:val="subscript"/>
              </w:rPr>
              <w:t>2</w:t>
            </w:r>
            <w:r>
              <w:rPr>
                <w:rFonts w:hint="eastAsia"/>
                <w:color w:val="FF0000"/>
                <w:sz w:val="24"/>
                <w:szCs w:val="24"/>
                <w:lang w:eastAsia="zh-CN"/>
              </w:rPr>
              <w:t>：</w:t>
            </w:r>
            <w:r>
              <w:rPr>
                <w:rFonts w:hint="default" w:ascii="Times New Roman" w:hAnsi="Times New Roman" w:eastAsia="宋体" w:cs="Times New Roman"/>
                <w:i w:val="0"/>
                <w:color w:val="FF0000"/>
                <w:kern w:val="0"/>
                <w:sz w:val="24"/>
                <w:szCs w:val="24"/>
                <w:u w:val="none"/>
                <w:lang w:val="en-US" w:eastAsia="zh-CN" w:bidi="ar"/>
              </w:rPr>
              <w:t>0.00</w:t>
            </w:r>
            <w:r>
              <w:rPr>
                <w:rFonts w:hint="eastAsia" w:cs="Times New Roman"/>
                <w:i w:val="0"/>
                <w:color w:val="FF0000"/>
                <w:kern w:val="0"/>
                <w:sz w:val="24"/>
                <w:szCs w:val="24"/>
                <w:u w:val="none"/>
                <w:lang w:val="en-US" w:eastAsia="zh-CN" w:bidi="ar"/>
              </w:rPr>
              <w:t>000</w:t>
            </w:r>
            <w:r>
              <w:rPr>
                <w:rFonts w:hint="default" w:ascii="Times New Roman" w:hAnsi="Times New Roman" w:eastAsia="宋体" w:cs="Times New Roman"/>
                <w:i w:val="0"/>
                <w:color w:val="FF0000"/>
                <w:kern w:val="0"/>
                <w:sz w:val="24"/>
                <w:szCs w:val="24"/>
                <w:u w:val="none"/>
                <w:lang w:val="en-US" w:eastAsia="zh-CN" w:bidi="ar"/>
              </w:rPr>
              <w:t>5</w:t>
            </w:r>
            <w:r>
              <w:rPr>
                <w:color w:val="FF0000"/>
                <w:kern w:val="0"/>
                <w:sz w:val="24"/>
                <w:szCs w:val="24"/>
              </w:rPr>
              <w:t>t/a</w:t>
            </w:r>
            <w:r>
              <w:rPr>
                <w:color w:val="FF0000"/>
                <w:sz w:val="24"/>
              </w:rPr>
              <w:t>。</w:t>
            </w:r>
          </w:p>
          <w:p>
            <w:pPr>
              <w:rPr>
                <w:sz w:val="24"/>
              </w:rPr>
            </w:pPr>
          </w:p>
        </w:tc>
      </w:tr>
    </w:tbl>
    <w:p>
      <w:pPr>
        <w:sectPr>
          <w:pgSz w:w="11906" w:h="16838"/>
          <w:pgMar w:top="1440" w:right="1800" w:bottom="1440" w:left="1800" w:header="851" w:footer="992" w:gutter="0"/>
          <w:pgNumType w:fmt="decimal"/>
          <w:cols w:space="425" w:num="1"/>
          <w:docGrid w:type="lines" w:linePitch="312" w:charSpace="0"/>
        </w:sectPr>
      </w:pPr>
    </w:p>
    <w:p>
      <w:pPr>
        <w:pStyle w:val="2"/>
        <w:spacing w:before="0" w:after="0" w:line="360" w:lineRule="auto"/>
      </w:pPr>
      <w:r>
        <w:rPr>
          <w:rFonts w:hint="eastAsia"/>
          <w:sz w:val="30"/>
        </w:rPr>
        <w:t>建设项目工程分析</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8522" w:type="dxa"/>
          </w:tcPr>
          <w:p>
            <w:pPr>
              <w:numPr>
                <w:ilvl w:val="0"/>
                <w:numId w:val="5"/>
              </w:numPr>
              <w:spacing w:line="360" w:lineRule="auto"/>
              <w:rPr>
                <w:b/>
                <w:sz w:val="28"/>
                <w:szCs w:val="28"/>
              </w:rPr>
            </w:pPr>
            <w:r>
              <w:rPr>
                <w:rFonts w:hint="eastAsia"/>
                <w:b/>
                <w:sz w:val="28"/>
                <w:szCs w:val="28"/>
              </w:rPr>
              <w:t>工艺流程：</w:t>
            </w:r>
          </w:p>
          <w:p>
            <w:pPr>
              <w:tabs>
                <w:tab w:val="left" w:pos="0"/>
              </w:tabs>
              <w:snapToGrid w:val="0"/>
              <w:spacing w:line="360" w:lineRule="auto"/>
              <w:ind w:firstLine="422" w:firstLineChars="200"/>
              <w:jc w:val="center"/>
              <w:rPr>
                <w:b/>
                <w:bCs/>
                <w:szCs w:val="21"/>
                <w:lang w:val="zh-CN"/>
              </w:rPr>
            </w:pPr>
          </w:p>
          <w:p>
            <w:pPr>
              <w:tabs>
                <w:tab w:val="left" w:pos="0"/>
              </w:tabs>
              <w:snapToGrid w:val="0"/>
              <w:spacing w:line="360" w:lineRule="auto"/>
              <w:jc w:val="center"/>
              <w:rPr>
                <w:b/>
                <w:bCs/>
                <w:szCs w:val="21"/>
                <w:lang w:val="zh-CN"/>
              </w:rPr>
            </w:pPr>
            <w:r>
              <w:drawing>
                <wp:inline distT="0" distB="0" distL="114300" distR="114300">
                  <wp:extent cx="5300980" cy="792480"/>
                  <wp:effectExtent l="0" t="0" r="13970" b="7620"/>
                  <wp:docPr id="3" name="图片 1" descr="15330908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1533090878(1)"/>
                          <pic:cNvPicPr>
                            <a:picLocks noChangeAspect="1"/>
                          </pic:cNvPicPr>
                        </pic:nvPicPr>
                        <pic:blipFill>
                          <a:blip r:embed="rId9" cstate="print"/>
                          <a:stretch>
                            <a:fillRect/>
                          </a:stretch>
                        </pic:blipFill>
                        <pic:spPr>
                          <a:xfrm>
                            <a:off x="0" y="0"/>
                            <a:ext cx="5300980" cy="792480"/>
                          </a:xfrm>
                          <a:prstGeom prst="rect">
                            <a:avLst/>
                          </a:prstGeom>
                          <a:noFill/>
                          <a:ln w="9525">
                            <a:noFill/>
                          </a:ln>
                        </pic:spPr>
                      </pic:pic>
                    </a:graphicData>
                  </a:graphic>
                </wp:inline>
              </w:drawing>
            </w:r>
          </w:p>
          <w:p>
            <w:pPr>
              <w:tabs>
                <w:tab w:val="left" w:pos="0"/>
              </w:tabs>
              <w:snapToGrid w:val="0"/>
              <w:spacing w:beforeLines="50" w:line="360" w:lineRule="auto"/>
              <w:ind w:firstLine="422" w:firstLineChars="200"/>
              <w:jc w:val="center"/>
              <w:rPr>
                <w:b/>
                <w:bCs/>
                <w:szCs w:val="21"/>
              </w:rPr>
            </w:pPr>
            <w:r>
              <w:rPr>
                <w:rFonts w:hint="eastAsia"/>
                <w:b/>
                <w:bCs/>
                <w:szCs w:val="21"/>
                <w:lang w:val="zh-CN"/>
              </w:rPr>
              <w:t>图5-</w:t>
            </w:r>
            <w:r>
              <w:rPr>
                <w:b/>
                <w:bCs/>
                <w:szCs w:val="21"/>
              </w:rPr>
              <w:t>1</w:t>
            </w:r>
            <w:r>
              <w:rPr>
                <w:rFonts w:hint="eastAsia"/>
                <w:b/>
                <w:bCs/>
                <w:szCs w:val="21"/>
              </w:rPr>
              <w:t xml:space="preserve"> 工艺流程图</w:t>
            </w:r>
          </w:p>
          <w:p>
            <w:pPr>
              <w:spacing w:line="360" w:lineRule="auto"/>
              <w:ind w:firstLine="482" w:firstLineChars="200"/>
              <w:jc w:val="left"/>
              <w:rPr>
                <w:b/>
                <w:bCs/>
                <w:sz w:val="24"/>
              </w:rPr>
            </w:pPr>
            <w:r>
              <w:rPr>
                <w:b/>
                <w:bCs/>
                <w:sz w:val="24"/>
              </w:rPr>
              <w:t>工艺流程简述：</w:t>
            </w:r>
          </w:p>
          <w:p>
            <w:pPr>
              <w:numPr>
                <w:ilvl w:val="0"/>
                <w:numId w:val="6"/>
              </w:numPr>
              <w:spacing w:line="360" w:lineRule="auto"/>
              <w:ind w:firstLine="480" w:firstLineChars="200"/>
              <w:jc w:val="left"/>
              <w:rPr>
                <w:sz w:val="24"/>
              </w:rPr>
            </w:pPr>
            <w:r>
              <w:rPr>
                <w:sz w:val="24"/>
              </w:rPr>
              <w:t>挂件：指将需处理的五金件人工悬挂至输送线。</w:t>
            </w:r>
          </w:p>
          <w:p>
            <w:pPr>
              <w:numPr>
                <w:ilvl w:val="0"/>
                <w:numId w:val="6"/>
              </w:numPr>
              <w:spacing w:line="360" w:lineRule="auto"/>
              <w:ind w:firstLine="480" w:firstLineChars="200"/>
              <w:jc w:val="left"/>
              <w:rPr>
                <w:sz w:val="24"/>
              </w:rPr>
            </w:pPr>
            <w:r>
              <w:rPr>
                <w:rFonts w:hint="eastAsia"/>
                <w:sz w:val="24"/>
              </w:rPr>
              <w:t>预热</w:t>
            </w:r>
            <w:r>
              <w:rPr>
                <w:sz w:val="24"/>
              </w:rPr>
              <w:t>：</w:t>
            </w:r>
            <w:r>
              <w:rPr>
                <w:rFonts w:hint="eastAsia"/>
                <w:sz w:val="24"/>
              </w:rPr>
              <w:t>挂件首先通过挂件线路进入到固化炉预热</w:t>
            </w:r>
            <w:r>
              <w:rPr>
                <w:sz w:val="24"/>
              </w:rPr>
              <w:t>，</w:t>
            </w:r>
            <w:r>
              <w:rPr>
                <w:rFonts w:hint="eastAsia"/>
                <w:sz w:val="24"/>
              </w:rPr>
              <w:t>主要目的是预热挂件，有利于</w:t>
            </w:r>
            <w:r>
              <w:rPr>
                <w:sz w:val="24"/>
              </w:rPr>
              <w:t>粉末涂料在五金件上的附着。</w:t>
            </w:r>
          </w:p>
          <w:p>
            <w:pPr>
              <w:numPr>
                <w:ilvl w:val="0"/>
                <w:numId w:val="6"/>
              </w:numPr>
              <w:spacing w:line="360" w:lineRule="auto"/>
              <w:ind w:firstLine="480" w:firstLineChars="200"/>
              <w:jc w:val="left"/>
              <w:rPr>
                <w:sz w:val="24"/>
              </w:rPr>
            </w:pPr>
            <w:r>
              <w:rPr>
                <w:sz w:val="24"/>
              </w:rPr>
              <w:t>喷粉：喷粉工序在专用喷涂柜中进行，共有四把喷枪，</w:t>
            </w:r>
            <w:r>
              <w:rPr>
                <w:rFonts w:hint="eastAsia"/>
                <w:sz w:val="24"/>
              </w:rPr>
              <w:t>均</w:t>
            </w:r>
            <w:r>
              <w:rPr>
                <w:sz w:val="24"/>
              </w:rPr>
              <w:t>为全自动喷涂，粉末涂料是热固性环氧树脂，通过静电使涂料粒子附着在工件上面。</w:t>
            </w:r>
          </w:p>
          <w:p>
            <w:pPr>
              <w:numPr>
                <w:ilvl w:val="0"/>
                <w:numId w:val="6"/>
              </w:numPr>
              <w:spacing w:line="360" w:lineRule="auto"/>
              <w:ind w:firstLine="480" w:firstLineChars="200"/>
              <w:jc w:val="left"/>
              <w:rPr>
                <w:sz w:val="24"/>
              </w:rPr>
            </w:pPr>
            <w:r>
              <w:rPr>
                <w:sz w:val="24"/>
              </w:rPr>
              <w:t>烘干：</w:t>
            </w:r>
            <w:r>
              <w:rPr>
                <w:rFonts w:hint="eastAsia"/>
                <w:sz w:val="24"/>
              </w:rPr>
              <w:t>喷粉后的五金件进入固化炉</w:t>
            </w:r>
            <w:r>
              <w:rPr>
                <w:sz w:val="24"/>
              </w:rPr>
              <w:t>烘干，通过加热使粉末涂料融化平摊在工件表面，减少因喷涂不均而产生的缝隙，最后</w:t>
            </w:r>
            <w:r>
              <w:rPr>
                <w:rFonts w:hint="eastAsia"/>
                <w:sz w:val="24"/>
              </w:rPr>
              <w:t>取下工件</w:t>
            </w:r>
            <w:r>
              <w:rPr>
                <w:sz w:val="24"/>
              </w:rPr>
              <w:t>进行包装得到成品。</w:t>
            </w:r>
          </w:p>
          <w:p>
            <w:pPr>
              <w:spacing w:line="360" w:lineRule="auto"/>
              <w:ind w:firstLine="480" w:firstLineChars="200"/>
              <w:jc w:val="left"/>
              <w:rPr>
                <w:sz w:val="24"/>
              </w:rPr>
            </w:pPr>
            <w:r>
              <w:rPr>
                <w:rFonts w:hint="eastAsia"/>
                <w:sz w:val="24"/>
              </w:rPr>
              <w:t>注：</w:t>
            </w:r>
            <w:r>
              <w:rPr>
                <w:bCs/>
                <w:sz w:val="24"/>
              </w:rPr>
              <w:t>本项目仅进行喷粉工序，若需要前处理的工件，外发处理，本项目内不进行预处理工序</w:t>
            </w:r>
            <w:r>
              <w:rPr>
                <w:rFonts w:hint="eastAsia"/>
                <w:bCs/>
                <w:sz w:val="24"/>
              </w:rPr>
              <w:t>，不涉及酸洗、磷化、水洗工序</w:t>
            </w:r>
            <w:r>
              <w:rPr>
                <w:bCs/>
                <w:sz w:val="24"/>
              </w:rPr>
              <w:t>。</w:t>
            </w:r>
          </w:p>
          <w:p>
            <w:pPr>
              <w:spacing w:line="360" w:lineRule="auto"/>
              <w:ind w:firstLine="480" w:firstLineChars="200"/>
              <w:jc w:val="left"/>
              <w:rPr>
                <w:sz w:val="24"/>
              </w:rPr>
            </w:pPr>
            <w:r>
              <w:rPr>
                <w:sz w:val="24"/>
              </w:rPr>
              <w:t>主要产污环节：</w:t>
            </w:r>
          </w:p>
          <w:p>
            <w:pPr>
              <w:spacing w:line="360" w:lineRule="auto"/>
              <w:ind w:firstLine="480" w:firstLineChars="200"/>
              <w:jc w:val="left"/>
              <w:rPr>
                <w:sz w:val="24"/>
              </w:rPr>
            </w:pPr>
            <w:r>
              <w:rPr>
                <w:sz w:val="24"/>
              </w:rPr>
              <w:t>废水：</w:t>
            </w:r>
            <w:r>
              <w:rPr>
                <w:rFonts w:hint="eastAsia"/>
                <w:sz w:val="24"/>
              </w:rPr>
              <w:t>本项目无前处理工序，仅来件喷涂处理，</w:t>
            </w:r>
            <w:r>
              <w:rPr>
                <w:sz w:val="24"/>
              </w:rPr>
              <w:t>无生产废水</w:t>
            </w:r>
            <w:r>
              <w:rPr>
                <w:rFonts w:hint="eastAsia"/>
                <w:sz w:val="24"/>
              </w:rPr>
              <w:t>产生</w:t>
            </w:r>
            <w:r>
              <w:rPr>
                <w:sz w:val="24"/>
              </w:rPr>
              <w:t>，本项目主要</w:t>
            </w:r>
            <w:r>
              <w:rPr>
                <w:rFonts w:hint="eastAsia"/>
                <w:sz w:val="24"/>
              </w:rPr>
              <w:t>废水</w:t>
            </w:r>
            <w:r>
              <w:rPr>
                <w:sz w:val="24"/>
              </w:rPr>
              <w:t>为生活废水。</w:t>
            </w:r>
          </w:p>
          <w:p>
            <w:pPr>
              <w:spacing w:line="360" w:lineRule="auto"/>
              <w:ind w:firstLine="480" w:firstLineChars="200"/>
              <w:jc w:val="left"/>
              <w:rPr>
                <w:sz w:val="24"/>
              </w:rPr>
            </w:pPr>
            <w:r>
              <w:rPr>
                <w:sz w:val="24"/>
              </w:rPr>
              <w:t>废气：喷粉产生粉末，烘干产生有机废气</w:t>
            </w:r>
            <w:r>
              <w:rPr>
                <w:rFonts w:hint="eastAsia"/>
                <w:sz w:val="24"/>
              </w:rPr>
              <w:t>，以及燃烧器产生的燃烧废气</w:t>
            </w:r>
            <w:r>
              <w:rPr>
                <w:sz w:val="24"/>
              </w:rPr>
              <w:t>。</w:t>
            </w:r>
          </w:p>
          <w:p>
            <w:pPr>
              <w:spacing w:line="360" w:lineRule="auto"/>
              <w:ind w:firstLine="480" w:firstLineChars="200"/>
              <w:jc w:val="left"/>
              <w:rPr>
                <w:sz w:val="24"/>
              </w:rPr>
            </w:pPr>
            <w:r>
              <w:rPr>
                <w:sz w:val="24"/>
              </w:rPr>
              <w:t>噪声：本项目主要的噪声是设备运行过程产生的噪声。</w:t>
            </w:r>
          </w:p>
          <w:p>
            <w:pPr>
              <w:spacing w:line="360" w:lineRule="auto"/>
              <w:ind w:firstLine="480" w:firstLineChars="200"/>
              <w:jc w:val="left"/>
              <w:rPr>
                <w:bCs/>
                <w:sz w:val="24"/>
                <w:szCs w:val="22"/>
              </w:rPr>
            </w:pPr>
            <w:r>
              <w:rPr>
                <w:sz w:val="24"/>
              </w:rPr>
              <w:t>固体废物：本项目固体废物主要为粉末涂料的废桶、包装</w:t>
            </w:r>
            <w:r>
              <w:rPr>
                <w:rFonts w:hint="eastAsia"/>
                <w:sz w:val="24"/>
              </w:rPr>
              <w:t>废物</w:t>
            </w:r>
            <w:r>
              <w:rPr>
                <w:sz w:val="24"/>
              </w:rPr>
              <w:t>和员工生活垃圾。</w:t>
            </w:r>
          </w:p>
          <w:p>
            <w:pPr>
              <w:spacing w:line="360" w:lineRule="auto"/>
              <w:rPr>
                <w:b/>
                <w:sz w:val="28"/>
                <w:szCs w:val="28"/>
              </w:rPr>
            </w:pPr>
            <w:r>
              <w:rPr>
                <w:rFonts w:hint="eastAsia"/>
                <w:b/>
                <w:sz w:val="28"/>
                <w:szCs w:val="28"/>
              </w:rPr>
              <w:t>二、污染源分析：</w:t>
            </w:r>
          </w:p>
          <w:p>
            <w:pPr>
              <w:spacing w:line="360" w:lineRule="auto"/>
              <w:ind w:firstLine="482" w:firstLineChars="200"/>
              <w:jc w:val="left"/>
              <w:rPr>
                <w:b/>
                <w:sz w:val="24"/>
              </w:rPr>
            </w:pPr>
            <w:r>
              <w:rPr>
                <w:b/>
                <w:sz w:val="24"/>
              </w:rPr>
              <w:t>1</w:t>
            </w:r>
            <w:r>
              <w:rPr>
                <w:rFonts w:hint="eastAsia"/>
                <w:b/>
                <w:sz w:val="24"/>
              </w:rPr>
              <w:t>、施工期主要污染</w:t>
            </w:r>
          </w:p>
          <w:p>
            <w:pPr>
              <w:spacing w:line="360" w:lineRule="auto"/>
              <w:ind w:firstLine="480" w:firstLineChars="200"/>
              <w:jc w:val="left"/>
              <w:rPr>
                <w:bCs/>
                <w:sz w:val="24"/>
                <w:szCs w:val="22"/>
              </w:rPr>
            </w:pPr>
            <w:r>
              <w:rPr>
                <w:rFonts w:hint="eastAsia"/>
                <w:bCs/>
                <w:sz w:val="24"/>
                <w:szCs w:val="22"/>
              </w:rPr>
              <w:t>本项目租用已建厂房进行经营，设备已安装完成，无建设期污染。</w:t>
            </w:r>
          </w:p>
          <w:p>
            <w:pPr>
              <w:numPr>
                <w:ilvl w:val="0"/>
                <w:numId w:val="7"/>
              </w:numPr>
              <w:spacing w:line="360" w:lineRule="auto"/>
              <w:ind w:firstLine="482" w:firstLineChars="200"/>
              <w:jc w:val="left"/>
              <w:rPr>
                <w:b/>
                <w:sz w:val="24"/>
              </w:rPr>
            </w:pPr>
            <w:r>
              <w:rPr>
                <w:rFonts w:hint="eastAsia"/>
                <w:b/>
                <w:sz w:val="24"/>
              </w:rPr>
              <w:t>运营期主要污染</w:t>
            </w:r>
          </w:p>
          <w:p>
            <w:pPr>
              <w:adjustRightInd w:val="0"/>
              <w:snapToGrid w:val="0"/>
              <w:spacing w:line="360" w:lineRule="auto"/>
              <w:ind w:firstLine="495"/>
              <w:jc w:val="left"/>
              <w:rPr>
                <w:b/>
                <w:sz w:val="24"/>
              </w:rPr>
            </w:pPr>
            <w:r>
              <w:rPr>
                <w:rFonts w:hint="eastAsia"/>
                <w:b/>
                <w:sz w:val="24"/>
              </w:rPr>
              <w:t>（</w:t>
            </w:r>
            <w:r>
              <w:rPr>
                <w:b/>
                <w:sz w:val="24"/>
              </w:rPr>
              <w:t>1</w:t>
            </w:r>
            <w:r>
              <w:rPr>
                <w:rFonts w:hint="eastAsia"/>
                <w:b/>
                <w:sz w:val="24"/>
              </w:rPr>
              <w:t>）废水</w:t>
            </w:r>
          </w:p>
          <w:p>
            <w:pPr>
              <w:tabs>
                <w:tab w:val="left" w:pos="0"/>
              </w:tabs>
              <w:snapToGrid w:val="0"/>
              <w:spacing w:line="360" w:lineRule="auto"/>
              <w:ind w:firstLine="480" w:firstLineChars="200"/>
              <w:rPr>
                <w:sz w:val="24"/>
                <w:lang w:val="zh-CN"/>
              </w:rPr>
            </w:pPr>
            <w:r>
              <w:rPr>
                <w:rFonts w:hint="eastAsia"/>
                <w:sz w:val="24"/>
                <w:lang w:val="zh-CN"/>
              </w:rPr>
              <w:t>本项目产生的废水主要是员工办公生活污水。</w:t>
            </w:r>
            <w:r>
              <w:rPr>
                <w:rFonts w:hint="eastAsia"/>
                <w:sz w:val="24"/>
              </w:rPr>
              <w:t>本项目员工</w:t>
            </w:r>
            <w:r>
              <w:rPr>
                <w:sz w:val="24"/>
              </w:rPr>
              <w:t>2</w:t>
            </w:r>
            <w:r>
              <w:rPr>
                <w:rFonts w:hint="eastAsia"/>
                <w:sz w:val="24"/>
              </w:rPr>
              <w:t>5人</w:t>
            </w:r>
            <w:r>
              <w:rPr>
                <w:rFonts w:hint="eastAsia"/>
                <w:sz w:val="24"/>
                <w:lang w:val="zh-CN"/>
              </w:rPr>
              <w:t>，不在厂内食宿，参考《广东省用水定额》（</w:t>
            </w:r>
            <w:r>
              <w:rPr>
                <w:sz w:val="24"/>
                <w:lang w:val="zh-CN"/>
              </w:rPr>
              <w:t>DB 44/ T 1461-2014</w:t>
            </w:r>
            <w:r>
              <w:rPr>
                <w:rFonts w:hint="eastAsia"/>
                <w:sz w:val="24"/>
                <w:lang w:val="zh-CN"/>
              </w:rPr>
              <w:t>年）</w:t>
            </w:r>
            <w:r>
              <w:rPr>
                <w:spacing w:val="10"/>
                <w:sz w:val="24"/>
              </w:rPr>
              <w:t>中机关事业单位职工用水定额，无食堂和浴室</w:t>
            </w:r>
            <w:r>
              <w:rPr>
                <w:kern w:val="0"/>
                <w:sz w:val="24"/>
              </w:rPr>
              <w:t>按40升/人</w:t>
            </w:r>
            <w:r>
              <w:rPr>
                <w:sz w:val="24"/>
              </w:rPr>
              <w:t>·日</w:t>
            </w:r>
            <w:r>
              <w:rPr>
                <w:kern w:val="0"/>
                <w:sz w:val="24"/>
              </w:rPr>
              <w:t>计算</w:t>
            </w:r>
            <w:r>
              <w:rPr>
                <w:sz w:val="24"/>
              </w:rPr>
              <w:t>，</w:t>
            </w:r>
            <w:r>
              <w:rPr>
                <w:rFonts w:hint="eastAsia"/>
                <w:sz w:val="24"/>
                <w:lang w:val="zh-CN"/>
              </w:rPr>
              <w:t>用水量约</w:t>
            </w:r>
            <w:r>
              <w:rPr>
                <w:sz w:val="24"/>
              </w:rPr>
              <w:t>1</w:t>
            </w:r>
            <w:r>
              <w:rPr>
                <w:sz w:val="24"/>
                <w:lang w:val="zh-CN"/>
              </w:rPr>
              <w:t>t/d</w:t>
            </w:r>
            <w:r>
              <w:rPr>
                <w:rFonts w:hint="eastAsia"/>
                <w:sz w:val="24"/>
                <w:lang w:val="zh-CN"/>
              </w:rPr>
              <w:t>（即</w:t>
            </w:r>
            <w:r>
              <w:rPr>
                <w:sz w:val="24"/>
              </w:rPr>
              <w:t>300</w:t>
            </w:r>
            <w:r>
              <w:rPr>
                <w:rFonts w:hint="eastAsia"/>
                <w:sz w:val="24"/>
              </w:rPr>
              <w:t>t</w:t>
            </w:r>
            <w:r>
              <w:rPr>
                <w:sz w:val="24"/>
                <w:lang w:val="zh-CN"/>
              </w:rPr>
              <w:t>/a</w:t>
            </w:r>
            <w:r>
              <w:rPr>
                <w:rFonts w:hint="eastAsia"/>
                <w:sz w:val="24"/>
                <w:lang w:val="zh-CN"/>
              </w:rPr>
              <w:t>）。污水产生量按用水量的</w:t>
            </w:r>
            <w:r>
              <w:rPr>
                <w:sz w:val="24"/>
                <w:lang w:val="zh-CN"/>
              </w:rPr>
              <w:t>90%</w:t>
            </w:r>
            <w:r>
              <w:rPr>
                <w:rFonts w:hint="eastAsia"/>
                <w:sz w:val="24"/>
                <w:lang w:val="zh-CN"/>
              </w:rPr>
              <w:t>计，则生活污水产生量为</w:t>
            </w:r>
            <w:r>
              <w:rPr>
                <w:sz w:val="24"/>
              </w:rPr>
              <w:t>0.9</w:t>
            </w:r>
            <w:r>
              <w:rPr>
                <w:sz w:val="24"/>
                <w:lang w:val="zh-CN"/>
              </w:rPr>
              <w:t>t/d</w:t>
            </w:r>
            <w:r>
              <w:rPr>
                <w:rFonts w:hint="eastAsia"/>
                <w:sz w:val="24"/>
                <w:lang w:val="zh-CN"/>
              </w:rPr>
              <w:t>（即</w:t>
            </w:r>
            <w:r>
              <w:rPr>
                <w:sz w:val="24"/>
              </w:rPr>
              <w:t>270</w:t>
            </w:r>
            <w:r>
              <w:rPr>
                <w:sz w:val="24"/>
                <w:lang w:val="zh-CN"/>
              </w:rPr>
              <w:t>t/a</w:t>
            </w:r>
            <w:r>
              <w:rPr>
                <w:rFonts w:hint="eastAsia"/>
                <w:sz w:val="24"/>
                <w:lang w:val="zh-CN"/>
              </w:rPr>
              <w:t>），污染物主要为</w:t>
            </w:r>
            <w:r>
              <w:rPr>
                <w:rFonts w:hint="eastAsia"/>
                <w:sz w:val="24"/>
              </w:rPr>
              <w:t>COD</w:t>
            </w:r>
            <w:r>
              <w:rPr>
                <w:rFonts w:hint="eastAsia"/>
                <w:sz w:val="24"/>
                <w:vertAlign w:val="subscript"/>
              </w:rPr>
              <w:t>Cr</w:t>
            </w:r>
            <w:r>
              <w:rPr>
                <w:rFonts w:hint="eastAsia"/>
                <w:sz w:val="24"/>
              </w:rPr>
              <w:t>、BOD</w:t>
            </w:r>
            <w:r>
              <w:rPr>
                <w:rFonts w:hint="eastAsia"/>
                <w:sz w:val="24"/>
                <w:vertAlign w:val="subscript"/>
              </w:rPr>
              <w:t>5</w:t>
            </w:r>
            <w:r>
              <w:rPr>
                <w:rFonts w:hint="eastAsia"/>
                <w:sz w:val="24"/>
              </w:rPr>
              <w:t>、SS、氨氮。</w:t>
            </w:r>
          </w:p>
          <w:p>
            <w:pPr>
              <w:spacing w:line="360" w:lineRule="auto"/>
              <w:ind w:firstLine="480" w:firstLineChars="200"/>
              <w:rPr>
                <w:sz w:val="24"/>
              </w:rPr>
            </w:pPr>
            <w:r>
              <w:rPr>
                <w:rFonts w:hint="eastAsia"/>
                <w:sz w:val="24"/>
              </w:rPr>
              <w:t>本项目生活污水污染物产排情况如下表所示。</w:t>
            </w:r>
          </w:p>
          <w:p>
            <w:pPr>
              <w:adjustRightInd w:val="0"/>
              <w:snapToGrid w:val="0"/>
              <w:spacing w:line="360" w:lineRule="auto"/>
              <w:jc w:val="center"/>
              <w:rPr>
                <w:b/>
                <w:szCs w:val="21"/>
              </w:rPr>
            </w:pPr>
            <w:r>
              <w:rPr>
                <w:rFonts w:hint="eastAsia"/>
                <w:b/>
                <w:szCs w:val="21"/>
              </w:rPr>
              <w:t>表5-1  生活污水污染物浓度及生产负荷一览表</w:t>
            </w:r>
          </w:p>
          <w:tbl>
            <w:tblPr>
              <w:tblStyle w:val="15"/>
              <w:tblW w:w="833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2121"/>
              <w:gridCol w:w="1269"/>
              <w:gridCol w:w="1153"/>
              <w:gridCol w:w="1186"/>
              <w:gridCol w:w="1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606" w:type="dxa"/>
                  <w:gridSpan w:val="2"/>
                  <w:vAlign w:val="center"/>
                </w:tcPr>
                <w:p>
                  <w:pPr>
                    <w:ind w:left="-4" w:leftChars="-14" w:hanging="25" w:hangingChars="12"/>
                    <w:jc w:val="center"/>
                    <w:rPr>
                      <w:szCs w:val="21"/>
                    </w:rPr>
                  </w:pPr>
                  <w:r>
                    <w:rPr>
                      <w:rFonts w:hint="eastAsia"/>
                      <w:szCs w:val="21"/>
                    </w:rPr>
                    <w:t>污染物名称</w:t>
                  </w:r>
                </w:p>
              </w:tc>
              <w:tc>
                <w:tcPr>
                  <w:tcW w:w="1269" w:type="dxa"/>
                  <w:vAlign w:val="center"/>
                </w:tcPr>
                <w:p>
                  <w:pPr>
                    <w:ind w:left="-4" w:leftChars="-14" w:hanging="25" w:hangingChars="12"/>
                    <w:jc w:val="center"/>
                    <w:rPr>
                      <w:szCs w:val="21"/>
                    </w:rPr>
                  </w:pPr>
                  <w:r>
                    <w:rPr>
                      <w:szCs w:val="21"/>
                    </w:rPr>
                    <w:t>COD</w:t>
                  </w:r>
                  <w:r>
                    <w:rPr>
                      <w:szCs w:val="21"/>
                      <w:vertAlign w:val="subscript"/>
                    </w:rPr>
                    <w:t>Cr</w:t>
                  </w:r>
                </w:p>
              </w:tc>
              <w:tc>
                <w:tcPr>
                  <w:tcW w:w="1153" w:type="dxa"/>
                  <w:vAlign w:val="center"/>
                </w:tcPr>
                <w:p>
                  <w:pPr>
                    <w:ind w:left="-4" w:leftChars="-14" w:hanging="25" w:hangingChars="12"/>
                    <w:jc w:val="center"/>
                    <w:rPr>
                      <w:szCs w:val="21"/>
                    </w:rPr>
                  </w:pPr>
                  <w:r>
                    <w:rPr>
                      <w:szCs w:val="21"/>
                    </w:rPr>
                    <w:t>BOD</w:t>
                  </w:r>
                  <w:r>
                    <w:rPr>
                      <w:szCs w:val="21"/>
                      <w:vertAlign w:val="subscript"/>
                    </w:rPr>
                    <w:t>5</w:t>
                  </w:r>
                </w:p>
              </w:tc>
              <w:tc>
                <w:tcPr>
                  <w:tcW w:w="1186" w:type="dxa"/>
                  <w:vAlign w:val="center"/>
                </w:tcPr>
                <w:p>
                  <w:pPr>
                    <w:ind w:left="-4" w:leftChars="-14" w:hanging="25" w:hangingChars="12"/>
                    <w:jc w:val="center"/>
                    <w:rPr>
                      <w:szCs w:val="21"/>
                    </w:rPr>
                  </w:pPr>
                  <w:r>
                    <w:rPr>
                      <w:szCs w:val="21"/>
                    </w:rPr>
                    <w:t>SS</w:t>
                  </w:r>
                </w:p>
              </w:tc>
              <w:tc>
                <w:tcPr>
                  <w:tcW w:w="1120" w:type="dxa"/>
                  <w:vAlign w:val="center"/>
                </w:tcPr>
                <w:p>
                  <w:pPr>
                    <w:ind w:left="-4" w:leftChars="-14" w:hanging="25" w:hangingChars="12"/>
                    <w:jc w:val="center"/>
                    <w:rPr>
                      <w:szCs w:val="21"/>
                    </w:rPr>
                  </w:pPr>
                  <w:r>
                    <w:rPr>
                      <w:rFonts w:hint="eastAsia"/>
                      <w:szCs w:val="21"/>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85" w:type="dxa"/>
                  <w:vMerge w:val="restart"/>
                  <w:vAlign w:val="center"/>
                </w:tcPr>
                <w:p>
                  <w:pPr>
                    <w:ind w:left="-4" w:leftChars="-14" w:hanging="25" w:hangingChars="12"/>
                    <w:jc w:val="center"/>
                    <w:rPr>
                      <w:szCs w:val="21"/>
                    </w:rPr>
                  </w:pPr>
                  <w:bookmarkStart w:id="1" w:name="_Hlk192578713"/>
                  <w:bookmarkStart w:id="2" w:name="OLE_LINK1" w:colFirst="1" w:colLast="5"/>
                  <w:bookmarkStart w:id="3" w:name="OLE_LINK2" w:colFirst="1" w:colLast="5"/>
                  <w:r>
                    <w:rPr>
                      <w:rFonts w:hint="eastAsia"/>
                      <w:szCs w:val="21"/>
                    </w:rPr>
                    <w:t>生活污水</w:t>
                  </w:r>
                </w:p>
                <w:p>
                  <w:pPr>
                    <w:ind w:left="-4" w:leftChars="-14" w:hanging="25" w:hangingChars="12"/>
                    <w:jc w:val="center"/>
                    <w:rPr>
                      <w:szCs w:val="21"/>
                    </w:rPr>
                  </w:pPr>
                  <w:r>
                    <w:rPr>
                      <w:szCs w:val="21"/>
                    </w:rPr>
                    <w:t>270m</w:t>
                  </w:r>
                  <w:r>
                    <w:rPr>
                      <w:szCs w:val="21"/>
                      <w:vertAlign w:val="superscript"/>
                    </w:rPr>
                    <w:t>3</w:t>
                  </w:r>
                  <w:r>
                    <w:rPr>
                      <w:szCs w:val="21"/>
                    </w:rPr>
                    <w:t>/a</w:t>
                  </w:r>
                </w:p>
              </w:tc>
              <w:tc>
                <w:tcPr>
                  <w:tcW w:w="2121" w:type="dxa"/>
                  <w:vAlign w:val="center"/>
                </w:tcPr>
                <w:p>
                  <w:pPr>
                    <w:ind w:left="-4" w:leftChars="-14" w:hanging="25" w:hangingChars="12"/>
                    <w:jc w:val="center"/>
                    <w:rPr>
                      <w:szCs w:val="21"/>
                    </w:rPr>
                  </w:pPr>
                  <w:r>
                    <w:rPr>
                      <w:rFonts w:hint="eastAsia"/>
                      <w:szCs w:val="21"/>
                    </w:rPr>
                    <w:t>产生浓度（</w:t>
                  </w:r>
                  <w:r>
                    <w:rPr>
                      <w:szCs w:val="21"/>
                    </w:rPr>
                    <w:t>mg/L</w:t>
                  </w:r>
                  <w:r>
                    <w:rPr>
                      <w:rFonts w:hint="eastAsia"/>
                      <w:szCs w:val="21"/>
                    </w:rPr>
                    <w:t>）</w:t>
                  </w:r>
                </w:p>
              </w:tc>
              <w:tc>
                <w:tcPr>
                  <w:tcW w:w="1269" w:type="dxa"/>
                  <w:vAlign w:val="center"/>
                </w:tcPr>
                <w:p>
                  <w:pPr>
                    <w:jc w:val="center"/>
                    <w:rPr>
                      <w:color w:val="000000"/>
                      <w:sz w:val="24"/>
                    </w:rPr>
                  </w:pPr>
                  <w:r>
                    <w:rPr>
                      <w:color w:val="000000"/>
                    </w:rPr>
                    <w:t>300</w:t>
                  </w:r>
                </w:p>
              </w:tc>
              <w:tc>
                <w:tcPr>
                  <w:tcW w:w="1153" w:type="dxa"/>
                  <w:vAlign w:val="center"/>
                </w:tcPr>
                <w:p>
                  <w:pPr>
                    <w:jc w:val="center"/>
                    <w:rPr>
                      <w:color w:val="000000"/>
                      <w:sz w:val="24"/>
                    </w:rPr>
                  </w:pPr>
                  <w:r>
                    <w:rPr>
                      <w:color w:val="000000"/>
                    </w:rPr>
                    <w:t>200</w:t>
                  </w:r>
                </w:p>
              </w:tc>
              <w:tc>
                <w:tcPr>
                  <w:tcW w:w="1186" w:type="dxa"/>
                  <w:vAlign w:val="center"/>
                </w:tcPr>
                <w:p>
                  <w:pPr>
                    <w:jc w:val="center"/>
                    <w:rPr>
                      <w:color w:val="000000"/>
                      <w:sz w:val="24"/>
                    </w:rPr>
                  </w:pPr>
                  <w:r>
                    <w:rPr>
                      <w:color w:val="000000"/>
                    </w:rPr>
                    <w:t>150</w:t>
                  </w:r>
                </w:p>
              </w:tc>
              <w:tc>
                <w:tcPr>
                  <w:tcW w:w="1120" w:type="dxa"/>
                  <w:vAlign w:val="center"/>
                </w:tcPr>
                <w:p>
                  <w:pPr>
                    <w:jc w:val="center"/>
                    <w:rPr>
                      <w:color w:val="000000"/>
                      <w:sz w:val="24"/>
                    </w:rPr>
                  </w:pPr>
                  <w:r>
                    <w:rPr>
                      <w:color w:val="000000"/>
                    </w:rPr>
                    <w:t>25</w:t>
                  </w:r>
                </w:p>
              </w:tc>
            </w:tr>
            <w:bookmarkEnd w:id="1"/>
            <w:bookmarkEnd w:id="2"/>
            <w:bookmarkEnd w:id="3"/>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85" w:type="dxa"/>
                  <w:vMerge w:val="continue"/>
                  <w:vAlign w:val="center"/>
                </w:tcPr>
                <w:p>
                  <w:pPr>
                    <w:ind w:left="-4" w:leftChars="-14" w:hanging="25" w:hangingChars="12"/>
                    <w:jc w:val="center"/>
                    <w:rPr>
                      <w:szCs w:val="21"/>
                    </w:rPr>
                  </w:pPr>
                </w:p>
              </w:tc>
              <w:tc>
                <w:tcPr>
                  <w:tcW w:w="2121" w:type="dxa"/>
                  <w:vAlign w:val="center"/>
                </w:tcPr>
                <w:p>
                  <w:pPr>
                    <w:ind w:left="-4" w:leftChars="-14" w:hanging="25" w:hangingChars="12"/>
                    <w:jc w:val="center"/>
                    <w:rPr>
                      <w:szCs w:val="21"/>
                    </w:rPr>
                  </w:pPr>
                  <w:r>
                    <w:rPr>
                      <w:rFonts w:hint="eastAsia"/>
                      <w:szCs w:val="21"/>
                    </w:rPr>
                    <w:t>产生量（</w:t>
                  </w:r>
                  <w:r>
                    <w:rPr>
                      <w:szCs w:val="21"/>
                    </w:rPr>
                    <w:t>t/a</w:t>
                  </w:r>
                  <w:r>
                    <w:rPr>
                      <w:rFonts w:hint="eastAsia"/>
                      <w:szCs w:val="21"/>
                    </w:rPr>
                    <w:t>）</w:t>
                  </w:r>
                </w:p>
              </w:tc>
              <w:tc>
                <w:tcPr>
                  <w:tcW w:w="1269" w:type="dxa"/>
                  <w:vAlign w:val="center"/>
                </w:tcPr>
                <w:p>
                  <w:pPr>
                    <w:jc w:val="center"/>
                    <w:rPr>
                      <w:color w:val="000000"/>
                      <w:szCs w:val="21"/>
                    </w:rPr>
                  </w:pPr>
                  <w:r>
                    <w:rPr>
                      <w:color w:val="000000"/>
                      <w:szCs w:val="21"/>
                    </w:rPr>
                    <w:t xml:space="preserve">0.081 </w:t>
                  </w:r>
                </w:p>
              </w:tc>
              <w:tc>
                <w:tcPr>
                  <w:tcW w:w="1153" w:type="dxa"/>
                  <w:vAlign w:val="center"/>
                </w:tcPr>
                <w:p>
                  <w:pPr>
                    <w:jc w:val="center"/>
                    <w:rPr>
                      <w:color w:val="000000"/>
                      <w:szCs w:val="21"/>
                    </w:rPr>
                  </w:pPr>
                  <w:r>
                    <w:rPr>
                      <w:color w:val="000000"/>
                      <w:szCs w:val="21"/>
                    </w:rPr>
                    <w:t xml:space="preserve">0.054 </w:t>
                  </w:r>
                </w:p>
              </w:tc>
              <w:tc>
                <w:tcPr>
                  <w:tcW w:w="1186" w:type="dxa"/>
                  <w:vAlign w:val="center"/>
                </w:tcPr>
                <w:p>
                  <w:pPr>
                    <w:jc w:val="center"/>
                    <w:rPr>
                      <w:color w:val="000000"/>
                      <w:szCs w:val="21"/>
                    </w:rPr>
                  </w:pPr>
                  <w:r>
                    <w:rPr>
                      <w:color w:val="000000"/>
                      <w:szCs w:val="21"/>
                    </w:rPr>
                    <w:t xml:space="preserve">0.041 </w:t>
                  </w:r>
                </w:p>
              </w:tc>
              <w:tc>
                <w:tcPr>
                  <w:tcW w:w="1120" w:type="dxa"/>
                  <w:vAlign w:val="center"/>
                </w:tcPr>
                <w:p>
                  <w:pPr>
                    <w:jc w:val="center"/>
                    <w:rPr>
                      <w:color w:val="000000"/>
                      <w:szCs w:val="21"/>
                    </w:rPr>
                  </w:pPr>
                  <w:r>
                    <w:rPr>
                      <w:color w:val="000000"/>
                      <w:szCs w:val="21"/>
                    </w:rPr>
                    <w:t xml:space="preserve">0.007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85" w:type="dxa"/>
                  <w:vMerge w:val="continue"/>
                  <w:vAlign w:val="center"/>
                </w:tcPr>
                <w:p>
                  <w:pPr>
                    <w:ind w:left="-4" w:leftChars="-14" w:hanging="25" w:hangingChars="12"/>
                    <w:jc w:val="center"/>
                    <w:rPr>
                      <w:szCs w:val="21"/>
                    </w:rPr>
                  </w:pPr>
                </w:p>
              </w:tc>
              <w:tc>
                <w:tcPr>
                  <w:tcW w:w="2121" w:type="dxa"/>
                  <w:vAlign w:val="center"/>
                </w:tcPr>
                <w:p>
                  <w:pPr>
                    <w:ind w:left="-4" w:leftChars="-14" w:hanging="25" w:hangingChars="12"/>
                    <w:jc w:val="center"/>
                    <w:rPr>
                      <w:szCs w:val="21"/>
                    </w:rPr>
                  </w:pPr>
                  <w:r>
                    <w:rPr>
                      <w:rFonts w:hint="eastAsia"/>
                      <w:szCs w:val="21"/>
                    </w:rPr>
                    <w:t>排放浓度（</w:t>
                  </w:r>
                  <w:r>
                    <w:rPr>
                      <w:szCs w:val="21"/>
                    </w:rPr>
                    <w:t>mg/L</w:t>
                  </w:r>
                  <w:r>
                    <w:rPr>
                      <w:rFonts w:hint="eastAsia"/>
                      <w:szCs w:val="21"/>
                    </w:rPr>
                    <w:t>）</w:t>
                  </w:r>
                </w:p>
              </w:tc>
              <w:tc>
                <w:tcPr>
                  <w:tcW w:w="1269" w:type="dxa"/>
                  <w:vAlign w:val="center"/>
                </w:tcPr>
                <w:p>
                  <w:pPr>
                    <w:jc w:val="center"/>
                    <w:rPr>
                      <w:color w:val="000000"/>
                      <w:sz w:val="24"/>
                    </w:rPr>
                  </w:pPr>
                  <w:r>
                    <w:rPr>
                      <w:color w:val="000000"/>
                    </w:rPr>
                    <w:t>250</w:t>
                  </w:r>
                </w:p>
              </w:tc>
              <w:tc>
                <w:tcPr>
                  <w:tcW w:w="1153" w:type="dxa"/>
                  <w:vAlign w:val="center"/>
                </w:tcPr>
                <w:p>
                  <w:pPr>
                    <w:jc w:val="center"/>
                    <w:rPr>
                      <w:color w:val="000000"/>
                      <w:sz w:val="24"/>
                    </w:rPr>
                  </w:pPr>
                  <w:r>
                    <w:rPr>
                      <w:color w:val="000000"/>
                    </w:rPr>
                    <w:t>150</w:t>
                  </w:r>
                </w:p>
              </w:tc>
              <w:tc>
                <w:tcPr>
                  <w:tcW w:w="1186" w:type="dxa"/>
                  <w:vAlign w:val="center"/>
                </w:tcPr>
                <w:p>
                  <w:pPr>
                    <w:jc w:val="center"/>
                    <w:rPr>
                      <w:color w:val="000000"/>
                      <w:sz w:val="24"/>
                    </w:rPr>
                  </w:pPr>
                  <w:r>
                    <w:rPr>
                      <w:color w:val="000000"/>
                    </w:rPr>
                    <w:t>100</w:t>
                  </w:r>
                </w:p>
              </w:tc>
              <w:tc>
                <w:tcPr>
                  <w:tcW w:w="1120" w:type="dxa"/>
                  <w:vAlign w:val="center"/>
                </w:tcPr>
                <w:p>
                  <w:pPr>
                    <w:jc w:val="center"/>
                    <w:rPr>
                      <w:color w:val="000000"/>
                      <w:sz w:val="24"/>
                    </w:rPr>
                  </w:pPr>
                  <w:r>
                    <w:rPr>
                      <w:color w:val="000000"/>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485" w:type="dxa"/>
                  <w:vMerge w:val="continue"/>
                  <w:vAlign w:val="center"/>
                </w:tcPr>
                <w:p>
                  <w:pPr>
                    <w:ind w:left="-4" w:leftChars="-14" w:hanging="25" w:hangingChars="12"/>
                    <w:jc w:val="center"/>
                    <w:rPr>
                      <w:szCs w:val="21"/>
                    </w:rPr>
                  </w:pPr>
                </w:p>
              </w:tc>
              <w:tc>
                <w:tcPr>
                  <w:tcW w:w="2121" w:type="dxa"/>
                  <w:vAlign w:val="center"/>
                </w:tcPr>
                <w:p>
                  <w:pPr>
                    <w:ind w:left="-4" w:leftChars="-14" w:hanging="25" w:hangingChars="12"/>
                    <w:jc w:val="center"/>
                    <w:rPr>
                      <w:szCs w:val="21"/>
                    </w:rPr>
                  </w:pPr>
                  <w:r>
                    <w:rPr>
                      <w:rFonts w:hint="eastAsia"/>
                      <w:szCs w:val="21"/>
                    </w:rPr>
                    <w:t>排放量（</w:t>
                  </w:r>
                  <w:r>
                    <w:rPr>
                      <w:szCs w:val="21"/>
                    </w:rPr>
                    <w:t>t/a</w:t>
                  </w:r>
                  <w:r>
                    <w:rPr>
                      <w:rFonts w:hint="eastAsia"/>
                      <w:szCs w:val="21"/>
                    </w:rPr>
                    <w:t>）</w:t>
                  </w:r>
                </w:p>
              </w:tc>
              <w:tc>
                <w:tcPr>
                  <w:tcW w:w="1269" w:type="dxa"/>
                  <w:vAlign w:val="center"/>
                </w:tcPr>
                <w:p>
                  <w:pPr>
                    <w:jc w:val="center"/>
                    <w:rPr>
                      <w:color w:val="000000"/>
                      <w:szCs w:val="21"/>
                    </w:rPr>
                  </w:pPr>
                  <w:r>
                    <w:rPr>
                      <w:color w:val="000000"/>
                      <w:szCs w:val="21"/>
                    </w:rPr>
                    <w:t xml:space="preserve">0.068 </w:t>
                  </w:r>
                </w:p>
              </w:tc>
              <w:tc>
                <w:tcPr>
                  <w:tcW w:w="1153" w:type="dxa"/>
                  <w:vAlign w:val="center"/>
                </w:tcPr>
                <w:p>
                  <w:pPr>
                    <w:jc w:val="center"/>
                    <w:rPr>
                      <w:color w:val="000000"/>
                      <w:szCs w:val="21"/>
                    </w:rPr>
                  </w:pPr>
                  <w:r>
                    <w:rPr>
                      <w:color w:val="000000"/>
                      <w:szCs w:val="21"/>
                    </w:rPr>
                    <w:t xml:space="preserve">0.041 </w:t>
                  </w:r>
                </w:p>
              </w:tc>
              <w:tc>
                <w:tcPr>
                  <w:tcW w:w="1186" w:type="dxa"/>
                  <w:vAlign w:val="center"/>
                </w:tcPr>
                <w:p>
                  <w:pPr>
                    <w:jc w:val="center"/>
                    <w:rPr>
                      <w:color w:val="000000"/>
                      <w:szCs w:val="21"/>
                    </w:rPr>
                  </w:pPr>
                  <w:r>
                    <w:rPr>
                      <w:color w:val="000000"/>
                      <w:szCs w:val="21"/>
                    </w:rPr>
                    <w:t xml:space="preserve">0.027 </w:t>
                  </w:r>
                </w:p>
              </w:tc>
              <w:tc>
                <w:tcPr>
                  <w:tcW w:w="1120" w:type="dxa"/>
                  <w:vAlign w:val="center"/>
                </w:tcPr>
                <w:p>
                  <w:pPr>
                    <w:jc w:val="center"/>
                    <w:rPr>
                      <w:color w:val="000000"/>
                      <w:szCs w:val="21"/>
                    </w:rPr>
                  </w:pPr>
                  <w:r>
                    <w:rPr>
                      <w:color w:val="000000"/>
                      <w:szCs w:val="21"/>
                    </w:rPr>
                    <w:t xml:space="preserve">0.005 </w:t>
                  </w:r>
                </w:p>
              </w:tc>
            </w:tr>
          </w:tbl>
          <w:p>
            <w:pPr>
              <w:tabs>
                <w:tab w:val="left" w:pos="0"/>
              </w:tabs>
              <w:snapToGrid w:val="0"/>
              <w:spacing w:line="360" w:lineRule="auto"/>
              <w:ind w:firstLine="482" w:firstLineChars="200"/>
              <w:rPr>
                <w:b/>
                <w:sz w:val="24"/>
                <w:lang w:val="zh-CN"/>
              </w:rPr>
            </w:pPr>
            <w:r>
              <w:rPr>
                <w:b/>
                <w:sz w:val="24"/>
                <w:lang w:val="zh-CN"/>
              </w:rPr>
              <w:t>（</w:t>
            </w:r>
            <w:r>
              <w:rPr>
                <w:b/>
                <w:sz w:val="24"/>
              </w:rPr>
              <w:t>2）</w:t>
            </w:r>
            <w:r>
              <w:rPr>
                <w:b/>
                <w:sz w:val="24"/>
                <w:lang w:val="zh-CN"/>
              </w:rPr>
              <w:t>废气</w:t>
            </w:r>
          </w:p>
          <w:p>
            <w:pPr>
              <w:autoSpaceDE w:val="0"/>
              <w:autoSpaceDN w:val="0"/>
              <w:spacing w:line="360" w:lineRule="auto"/>
              <w:ind w:firstLine="480" w:firstLineChars="200"/>
              <w:rPr>
                <w:sz w:val="24"/>
                <w:lang w:val="zh-CN"/>
              </w:rPr>
            </w:pPr>
            <w:r>
              <w:rPr>
                <w:sz w:val="24"/>
              </w:rPr>
              <w:t>本项目运营期产生的废气主要为喷粉工序产生的粉尘、燃烧废气和烘干工序产生的</w:t>
            </w:r>
            <w:r>
              <w:rPr>
                <w:rFonts w:hint="eastAsia"/>
                <w:sz w:val="24"/>
                <w:lang w:val="en-US" w:eastAsia="zh-CN"/>
              </w:rPr>
              <w:t>固化</w:t>
            </w:r>
            <w:r>
              <w:rPr>
                <w:sz w:val="24"/>
              </w:rPr>
              <w:t>废气。</w:t>
            </w:r>
          </w:p>
          <w:p>
            <w:pPr>
              <w:numPr>
                <w:ilvl w:val="0"/>
                <w:numId w:val="8"/>
              </w:numPr>
              <w:tabs>
                <w:tab w:val="left" w:pos="0"/>
              </w:tabs>
              <w:snapToGrid w:val="0"/>
              <w:spacing w:line="360" w:lineRule="auto"/>
              <w:rPr>
                <w:b/>
                <w:color w:val="FF0000"/>
                <w:sz w:val="24"/>
                <w:lang w:val="zh-CN"/>
              </w:rPr>
            </w:pPr>
            <w:r>
              <w:rPr>
                <w:b/>
                <w:color w:val="FF0000"/>
                <w:sz w:val="24"/>
                <w:lang w:val="zh-CN"/>
              </w:rPr>
              <w:t>粉尘</w:t>
            </w:r>
          </w:p>
          <w:p>
            <w:pPr>
              <w:spacing w:line="360" w:lineRule="auto"/>
              <w:ind w:firstLine="480" w:firstLineChars="200"/>
              <w:rPr>
                <w:rFonts w:hint="eastAsia"/>
                <w:color w:val="FF0000"/>
                <w:sz w:val="24"/>
                <w:szCs w:val="32"/>
              </w:rPr>
            </w:pPr>
            <w:r>
              <w:rPr>
                <w:rFonts w:hint="eastAsia"/>
                <w:color w:val="FF0000"/>
                <w:sz w:val="24"/>
                <w:szCs w:val="32"/>
              </w:rPr>
              <w:t>本项目喷粉工序使用的涂料为环氧树脂</w:t>
            </w:r>
            <w:r>
              <w:rPr>
                <w:rFonts w:hint="eastAsia"/>
                <w:color w:val="FF0000"/>
                <w:sz w:val="24"/>
                <w:szCs w:val="32"/>
                <w:lang w:val="en-US" w:eastAsia="zh-CN"/>
              </w:rPr>
              <w:t>粉</w:t>
            </w:r>
            <w:r>
              <w:rPr>
                <w:rFonts w:hint="eastAsia"/>
                <w:color w:val="FF0000"/>
                <w:sz w:val="24"/>
                <w:szCs w:val="32"/>
              </w:rPr>
              <w:t>末，采静电</w:t>
            </w:r>
            <w:r>
              <w:rPr>
                <w:rFonts w:hint="eastAsia"/>
                <w:color w:val="FF0000"/>
                <w:sz w:val="24"/>
                <w:szCs w:val="32"/>
                <w:lang w:val="en-US" w:eastAsia="zh-CN"/>
              </w:rPr>
              <w:t>喷涂</w:t>
            </w:r>
            <w:r>
              <w:rPr>
                <w:rFonts w:hint="eastAsia"/>
                <w:color w:val="FF0000"/>
                <w:sz w:val="24"/>
                <w:szCs w:val="32"/>
              </w:rPr>
              <w:t>方式</w:t>
            </w:r>
            <w:r>
              <w:rPr>
                <w:rFonts w:hint="eastAsia"/>
                <w:color w:val="FF0000"/>
                <w:sz w:val="24"/>
                <w:szCs w:val="32"/>
                <w:lang w:eastAsia="zh-CN"/>
              </w:rPr>
              <w:t>，</w:t>
            </w:r>
            <w:r>
              <w:rPr>
                <w:rFonts w:hint="eastAsia"/>
                <w:color w:val="FF0000"/>
                <w:sz w:val="24"/>
                <w:szCs w:val="32"/>
                <w:lang w:val="en-US" w:eastAsia="zh-CN"/>
              </w:rPr>
              <w:t>项目</w:t>
            </w:r>
            <w:r>
              <w:rPr>
                <w:rFonts w:hint="eastAsia"/>
                <w:color w:val="FF0000"/>
                <w:sz w:val="24"/>
                <w:szCs w:val="32"/>
              </w:rPr>
              <w:t>全自动</w:t>
            </w:r>
            <w:r>
              <w:rPr>
                <w:rFonts w:hint="eastAsia"/>
                <w:color w:val="FF0000"/>
                <w:sz w:val="24"/>
                <w:szCs w:val="32"/>
                <w:lang w:val="en-US" w:eastAsia="zh-CN"/>
              </w:rPr>
              <w:t>喷涂</w:t>
            </w:r>
            <w:r>
              <w:rPr>
                <w:rFonts w:hint="eastAsia"/>
                <w:color w:val="FF0000"/>
                <w:sz w:val="24"/>
                <w:szCs w:val="32"/>
              </w:rPr>
              <w:t>固化线中共设置 4个</w:t>
            </w:r>
            <w:r>
              <w:rPr>
                <w:rFonts w:hint="eastAsia"/>
                <w:color w:val="FF0000"/>
                <w:sz w:val="24"/>
                <w:szCs w:val="32"/>
                <w:lang w:val="en-US" w:eastAsia="zh-CN"/>
              </w:rPr>
              <w:t>单独的</w:t>
            </w:r>
            <w:r>
              <w:rPr>
                <w:rFonts w:hint="eastAsia"/>
                <w:color w:val="FF0000"/>
                <w:sz w:val="24"/>
                <w:szCs w:val="32"/>
              </w:rPr>
              <w:t>喷粉</w:t>
            </w:r>
            <w:r>
              <w:rPr>
                <w:rFonts w:hint="eastAsia"/>
                <w:color w:val="FF0000"/>
                <w:sz w:val="24"/>
                <w:szCs w:val="32"/>
                <w:lang w:val="en-US" w:eastAsia="zh-CN"/>
              </w:rPr>
              <w:t>箱（8m×2m×2m）</w:t>
            </w:r>
            <w:r>
              <w:rPr>
                <w:rFonts w:hint="eastAsia"/>
                <w:color w:val="FF0000"/>
                <w:sz w:val="24"/>
                <w:szCs w:val="32"/>
              </w:rPr>
              <w:t>，每个喷粉</w:t>
            </w:r>
            <w:r>
              <w:rPr>
                <w:rFonts w:hint="eastAsia"/>
                <w:color w:val="FF0000"/>
                <w:sz w:val="24"/>
                <w:szCs w:val="32"/>
                <w:lang w:val="en-US" w:eastAsia="zh-CN"/>
              </w:rPr>
              <w:t>箱设置</w:t>
            </w:r>
            <w:r>
              <w:rPr>
                <w:rFonts w:hint="eastAsia"/>
                <w:color w:val="FF0000"/>
                <w:sz w:val="24"/>
                <w:szCs w:val="32"/>
              </w:rPr>
              <w:t>2把喷枪，每个</w:t>
            </w:r>
            <w:r>
              <w:rPr>
                <w:rFonts w:hint="eastAsia"/>
                <w:color w:val="FF0000"/>
                <w:sz w:val="24"/>
                <w:szCs w:val="32"/>
                <w:lang w:val="en-US" w:eastAsia="zh-CN"/>
              </w:rPr>
              <w:t>喷枪</w:t>
            </w:r>
            <w:r>
              <w:rPr>
                <w:rFonts w:hint="eastAsia"/>
                <w:color w:val="FF0000"/>
                <w:sz w:val="24"/>
                <w:szCs w:val="32"/>
              </w:rPr>
              <w:t>的使用频率和</w:t>
            </w:r>
            <w:r>
              <w:rPr>
                <w:rFonts w:hint="eastAsia"/>
                <w:color w:val="FF0000"/>
                <w:sz w:val="24"/>
                <w:szCs w:val="32"/>
                <w:lang w:val="en-US" w:eastAsia="zh-CN"/>
              </w:rPr>
              <w:t>喷涂</w:t>
            </w:r>
            <w:r>
              <w:rPr>
                <w:rFonts w:hint="eastAsia"/>
                <w:color w:val="FF0000"/>
                <w:sz w:val="24"/>
                <w:szCs w:val="32"/>
              </w:rPr>
              <w:t>时间均相同。本项目环氧树脂</w:t>
            </w:r>
            <w:r>
              <w:rPr>
                <w:rFonts w:hint="eastAsia"/>
                <w:color w:val="FF0000"/>
                <w:sz w:val="24"/>
                <w:szCs w:val="32"/>
                <w:lang w:val="en-US" w:eastAsia="zh-CN"/>
              </w:rPr>
              <w:t>粉</w:t>
            </w:r>
            <w:r>
              <w:rPr>
                <w:rFonts w:hint="eastAsia"/>
                <w:color w:val="FF0000"/>
                <w:sz w:val="24"/>
                <w:szCs w:val="32"/>
              </w:rPr>
              <w:t>末年用量为</w:t>
            </w:r>
            <w:r>
              <w:rPr>
                <w:rFonts w:hint="eastAsia"/>
                <w:color w:val="FF0000"/>
                <w:sz w:val="24"/>
                <w:szCs w:val="32"/>
                <w:lang w:val="en-US" w:eastAsia="zh-CN"/>
              </w:rPr>
              <w:t>20t。项目</w:t>
            </w:r>
            <w:r>
              <w:rPr>
                <w:rFonts w:hint="eastAsia"/>
                <w:color w:val="FF0000"/>
                <w:sz w:val="24"/>
                <w:szCs w:val="32"/>
              </w:rPr>
              <w:t xml:space="preserve">喷粉粉末的上粉率为85%，即约 </w:t>
            </w:r>
            <w:r>
              <w:rPr>
                <w:rFonts w:hint="eastAsia"/>
                <w:color w:val="FF0000"/>
                <w:sz w:val="24"/>
                <w:szCs w:val="32"/>
                <w:lang w:val="en-US" w:eastAsia="zh-CN"/>
              </w:rPr>
              <w:t>15</w:t>
            </w:r>
            <w:r>
              <w:rPr>
                <w:rFonts w:hint="eastAsia"/>
                <w:color w:val="FF0000"/>
                <w:sz w:val="24"/>
                <w:szCs w:val="32"/>
              </w:rPr>
              <w:t>%（</w:t>
            </w:r>
            <w:r>
              <w:rPr>
                <w:rFonts w:hint="eastAsia"/>
                <w:color w:val="FF0000"/>
                <w:sz w:val="24"/>
                <w:szCs w:val="32"/>
                <w:lang w:val="en-US" w:eastAsia="zh-CN"/>
              </w:rPr>
              <w:t>3</w:t>
            </w:r>
            <w:r>
              <w:rPr>
                <w:rFonts w:hint="eastAsia"/>
                <w:color w:val="FF0000"/>
                <w:sz w:val="24"/>
                <w:szCs w:val="32"/>
              </w:rPr>
              <w:t>t/a）</w:t>
            </w:r>
            <w:r>
              <w:rPr>
                <w:rFonts w:hint="eastAsia"/>
                <w:color w:val="FF0000"/>
                <w:sz w:val="24"/>
                <w:szCs w:val="32"/>
                <w:lang w:val="en-US" w:eastAsia="zh-CN"/>
              </w:rPr>
              <w:t>的喷粉粉末转换为喷粉废气</w:t>
            </w:r>
            <w:r>
              <w:rPr>
                <w:rFonts w:hint="eastAsia"/>
                <w:color w:val="FF0000"/>
                <w:sz w:val="24"/>
                <w:szCs w:val="32"/>
              </w:rPr>
              <w:t>。</w:t>
            </w:r>
          </w:p>
          <w:p>
            <w:pPr>
              <w:spacing w:line="360" w:lineRule="auto"/>
              <w:ind w:firstLine="480" w:firstLineChars="200"/>
              <w:rPr>
                <w:rFonts w:hint="eastAsia" w:eastAsia="宋体"/>
                <w:color w:val="FF0000"/>
                <w:sz w:val="24"/>
                <w:szCs w:val="32"/>
                <w:lang w:eastAsia="zh-CN"/>
              </w:rPr>
            </w:pPr>
            <w:r>
              <w:rPr>
                <w:rFonts w:hint="eastAsia"/>
                <w:color w:val="FF0000"/>
                <w:sz w:val="24"/>
                <w:szCs w:val="32"/>
              </w:rPr>
              <w:t>项目静电喷粉在密闭的负压喷粉</w:t>
            </w:r>
            <w:r>
              <w:rPr>
                <w:rFonts w:hint="eastAsia"/>
                <w:color w:val="FF0000"/>
                <w:sz w:val="24"/>
                <w:szCs w:val="32"/>
                <w:lang w:val="en-US" w:eastAsia="zh-CN"/>
              </w:rPr>
              <w:t>箱</w:t>
            </w:r>
            <w:r>
              <w:rPr>
                <w:rFonts w:hint="eastAsia"/>
                <w:color w:val="FF0000"/>
                <w:sz w:val="24"/>
                <w:szCs w:val="32"/>
              </w:rPr>
              <w:t>内进行，并设置“高密度滤芯</w:t>
            </w:r>
            <w:r>
              <w:rPr>
                <w:rFonts w:hint="eastAsia"/>
                <w:color w:val="FF0000"/>
                <w:sz w:val="24"/>
                <w:szCs w:val="32"/>
                <w:lang w:val="en-US" w:eastAsia="zh-CN"/>
              </w:rPr>
              <w:t>过滤</w:t>
            </w:r>
            <w:r>
              <w:rPr>
                <w:rFonts w:hint="eastAsia"/>
                <w:color w:val="FF0000"/>
                <w:sz w:val="24"/>
                <w:szCs w:val="32"/>
              </w:rPr>
              <w:t>+脉冲反吹清灰”除尘系统处理粉</w:t>
            </w:r>
            <w:r>
              <w:rPr>
                <w:rFonts w:hint="eastAsia"/>
                <w:color w:val="FF0000"/>
                <w:sz w:val="24"/>
                <w:szCs w:val="32"/>
                <w:lang w:val="en-US" w:eastAsia="zh-CN"/>
              </w:rPr>
              <w:t>尘</w:t>
            </w:r>
            <w:r>
              <w:rPr>
                <w:rFonts w:hint="eastAsia"/>
                <w:color w:val="FF0000"/>
                <w:sz w:val="24"/>
                <w:szCs w:val="32"/>
              </w:rPr>
              <w:t>。</w:t>
            </w:r>
            <w:r>
              <w:rPr>
                <w:rFonts w:hint="eastAsia"/>
                <w:color w:val="FF0000"/>
                <w:sz w:val="24"/>
                <w:szCs w:val="32"/>
                <w:lang w:val="en-US" w:eastAsia="zh-CN"/>
              </w:rPr>
              <w:t>喷粉箱</w:t>
            </w:r>
            <w:r>
              <w:rPr>
                <w:rFonts w:hint="eastAsia"/>
                <w:color w:val="FF0000"/>
                <w:sz w:val="24"/>
                <w:szCs w:val="32"/>
              </w:rPr>
              <w:t>内</w:t>
            </w:r>
            <w:r>
              <w:rPr>
                <w:rFonts w:hint="eastAsia"/>
                <w:color w:val="FF0000"/>
                <w:sz w:val="24"/>
                <w:szCs w:val="32"/>
                <w:lang w:val="en-US" w:eastAsia="zh-CN"/>
              </w:rPr>
              <w:t>喷粉废气</w:t>
            </w:r>
            <w:r>
              <w:rPr>
                <w:rFonts w:hint="eastAsia"/>
                <w:color w:val="FF0000"/>
                <w:sz w:val="24"/>
                <w:szCs w:val="32"/>
              </w:rPr>
              <w:t>收集效率可达98%，仅有 2% 的粉尘在检修或回收粉末的过程中因开闭门而溢出，此部分粉尘大部分沉降于 车间内</w:t>
            </w:r>
            <w:r>
              <w:rPr>
                <w:rFonts w:hint="eastAsia"/>
                <w:color w:val="FF0000"/>
                <w:sz w:val="24"/>
                <w:szCs w:val="32"/>
                <w:lang w:eastAsia="zh-CN"/>
              </w:rPr>
              <w:t>，</w:t>
            </w:r>
            <w:r>
              <w:rPr>
                <w:rFonts w:hint="eastAsia"/>
                <w:color w:val="FF0000"/>
                <w:sz w:val="24"/>
                <w:szCs w:val="32"/>
              </w:rPr>
              <w:t>而逸散于环境中的粉尘按 10 %计， 即项目喷粉</w:t>
            </w:r>
            <w:r>
              <w:rPr>
                <w:rFonts w:hint="eastAsia"/>
                <w:color w:val="FF0000"/>
                <w:sz w:val="24"/>
                <w:szCs w:val="32"/>
                <w:lang w:val="en-US" w:eastAsia="zh-CN"/>
              </w:rPr>
              <w:t>粉</w:t>
            </w:r>
            <w:r>
              <w:rPr>
                <w:rFonts w:hint="eastAsia"/>
                <w:color w:val="FF0000"/>
                <w:sz w:val="24"/>
                <w:szCs w:val="32"/>
              </w:rPr>
              <w:t>尘无组织产生量约为 0. 0</w:t>
            </w:r>
            <w:r>
              <w:rPr>
                <w:rFonts w:hint="eastAsia"/>
                <w:color w:val="FF0000"/>
                <w:sz w:val="24"/>
                <w:szCs w:val="32"/>
                <w:lang w:val="en-US" w:eastAsia="zh-CN"/>
              </w:rPr>
              <w:t>06</w:t>
            </w:r>
            <w:r>
              <w:rPr>
                <w:rFonts w:hint="eastAsia"/>
                <w:color w:val="FF0000"/>
                <w:sz w:val="24"/>
                <w:szCs w:val="32"/>
              </w:rPr>
              <w:t>t/a；全厂设置 1套粉尘除尘系统收集处理各个</w:t>
            </w:r>
            <w:r>
              <w:rPr>
                <w:rFonts w:hint="eastAsia"/>
                <w:color w:val="FF0000"/>
                <w:sz w:val="24"/>
                <w:szCs w:val="32"/>
                <w:lang w:val="en-US" w:eastAsia="zh-CN"/>
              </w:rPr>
              <w:t>喷粉箱</w:t>
            </w:r>
            <w:r>
              <w:rPr>
                <w:rFonts w:hint="eastAsia"/>
                <w:color w:val="FF0000"/>
                <w:sz w:val="24"/>
                <w:szCs w:val="32"/>
              </w:rPr>
              <w:t>的</w:t>
            </w:r>
            <w:r>
              <w:rPr>
                <w:rFonts w:hint="eastAsia"/>
                <w:color w:val="FF0000"/>
                <w:sz w:val="24"/>
                <w:szCs w:val="32"/>
                <w:lang w:val="en-US" w:eastAsia="zh-CN"/>
              </w:rPr>
              <w:t>粉尘。</w:t>
            </w:r>
          </w:p>
          <w:p>
            <w:pPr>
              <w:spacing w:line="360" w:lineRule="auto"/>
              <w:ind w:firstLine="480" w:firstLineChars="200"/>
              <w:rPr>
                <w:rFonts w:hint="eastAsia"/>
                <w:color w:val="FF0000"/>
                <w:sz w:val="24"/>
                <w:szCs w:val="32"/>
              </w:rPr>
            </w:pPr>
            <w:r>
              <w:rPr>
                <w:rFonts w:hint="eastAsia"/>
                <w:color w:val="FF0000"/>
                <w:sz w:val="24"/>
                <w:szCs w:val="32"/>
                <w:lang w:val="en-US" w:eastAsia="zh-CN"/>
              </w:rPr>
              <w:t>项目各喷粉箱内置</w:t>
            </w:r>
            <w:r>
              <w:rPr>
                <w:rFonts w:hint="eastAsia"/>
                <w:color w:val="FF0000"/>
                <w:sz w:val="24"/>
                <w:szCs w:val="32"/>
              </w:rPr>
              <w:t>集气罩以收集喷粉粉尘，其中根据《大气污染控制工程》（第三版）中集气罩风量计算公式：</w:t>
            </w:r>
          </w:p>
          <w:p>
            <w:pPr>
              <w:spacing w:line="360" w:lineRule="auto"/>
              <w:ind w:firstLine="480" w:firstLineChars="200"/>
              <w:jc w:val="center"/>
              <w:rPr>
                <w:rFonts w:hint="eastAsia"/>
                <w:color w:val="FF0000"/>
                <w:sz w:val="24"/>
                <w:szCs w:val="32"/>
              </w:rPr>
            </w:pPr>
            <w:r>
              <w:rPr>
                <w:rFonts w:hint="eastAsia"/>
                <w:color w:val="FF0000"/>
                <w:sz w:val="24"/>
                <w:szCs w:val="32"/>
              </w:rPr>
              <w:t>Q=0.75（10X</w:t>
            </w:r>
            <w:r>
              <w:rPr>
                <w:rFonts w:hint="eastAsia"/>
                <w:color w:val="FF0000"/>
                <w:sz w:val="24"/>
                <w:szCs w:val="32"/>
                <w:vertAlign w:val="superscript"/>
              </w:rPr>
              <w:t>2</w:t>
            </w:r>
            <w:r>
              <w:rPr>
                <w:rFonts w:hint="eastAsia"/>
                <w:color w:val="FF0000"/>
                <w:sz w:val="24"/>
                <w:szCs w:val="32"/>
              </w:rPr>
              <w:t>+A）×Vx</w:t>
            </w:r>
          </w:p>
          <w:p>
            <w:pPr>
              <w:spacing w:line="360" w:lineRule="auto"/>
              <w:ind w:firstLine="480" w:firstLineChars="200"/>
              <w:rPr>
                <w:rFonts w:hint="eastAsia"/>
                <w:color w:val="FF0000"/>
                <w:sz w:val="24"/>
                <w:szCs w:val="32"/>
              </w:rPr>
            </w:pPr>
            <w:r>
              <w:rPr>
                <w:rFonts w:hint="eastAsia"/>
                <w:color w:val="FF0000"/>
                <w:sz w:val="24"/>
                <w:szCs w:val="32"/>
              </w:rPr>
              <w:t>式中：Q----集气罩排风量，m</w:t>
            </w:r>
            <w:r>
              <w:rPr>
                <w:rFonts w:hint="eastAsia"/>
                <w:color w:val="FF0000"/>
                <w:sz w:val="24"/>
                <w:szCs w:val="32"/>
                <w:vertAlign w:val="superscript"/>
              </w:rPr>
              <w:t>3</w:t>
            </w:r>
            <w:r>
              <w:rPr>
                <w:rFonts w:hint="eastAsia"/>
                <w:color w:val="FF0000"/>
                <w:sz w:val="24"/>
                <w:szCs w:val="32"/>
              </w:rPr>
              <w:t>/s；</w:t>
            </w:r>
          </w:p>
          <w:p>
            <w:pPr>
              <w:spacing w:line="360" w:lineRule="auto"/>
              <w:ind w:firstLine="480" w:firstLineChars="200"/>
              <w:rPr>
                <w:rFonts w:hint="eastAsia"/>
                <w:color w:val="FF0000"/>
                <w:sz w:val="24"/>
                <w:szCs w:val="32"/>
              </w:rPr>
            </w:pPr>
            <w:r>
              <w:rPr>
                <w:rFonts w:hint="eastAsia"/>
                <w:color w:val="FF0000"/>
                <w:sz w:val="24"/>
                <w:szCs w:val="32"/>
              </w:rPr>
              <w:t xml:space="preserve">      X----污染物产生点至罩口的距离，m，本项目取0.4；</w:t>
            </w:r>
          </w:p>
          <w:p>
            <w:pPr>
              <w:spacing w:line="360" w:lineRule="auto"/>
              <w:ind w:firstLine="480" w:firstLineChars="200"/>
              <w:rPr>
                <w:rFonts w:hint="eastAsia"/>
                <w:color w:val="FF0000"/>
                <w:sz w:val="24"/>
                <w:szCs w:val="32"/>
              </w:rPr>
            </w:pPr>
            <w:r>
              <w:rPr>
                <w:rFonts w:hint="eastAsia"/>
                <w:color w:val="FF0000"/>
                <w:sz w:val="24"/>
                <w:szCs w:val="32"/>
              </w:rPr>
              <w:t xml:space="preserve">      A----罩口面积，m</w:t>
            </w:r>
            <w:r>
              <w:rPr>
                <w:rFonts w:hint="eastAsia"/>
                <w:color w:val="FF0000"/>
                <w:sz w:val="24"/>
                <w:szCs w:val="32"/>
                <w:vertAlign w:val="superscript"/>
              </w:rPr>
              <w:t>2</w:t>
            </w:r>
            <w:r>
              <w:rPr>
                <w:rFonts w:hint="eastAsia"/>
                <w:color w:val="FF0000"/>
                <w:sz w:val="24"/>
                <w:szCs w:val="32"/>
              </w:rPr>
              <w:t>，单个集气罩口面积为</w:t>
            </w:r>
            <w:r>
              <w:rPr>
                <w:rFonts w:hint="eastAsia"/>
                <w:color w:val="FF0000"/>
                <w:sz w:val="24"/>
                <w:szCs w:val="32"/>
                <w:lang w:val="en-US" w:eastAsia="zh-CN"/>
              </w:rPr>
              <w:t>0.64</w:t>
            </w:r>
            <w:r>
              <w:rPr>
                <w:rFonts w:hint="eastAsia"/>
                <w:color w:val="FF0000"/>
                <w:sz w:val="24"/>
                <w:szCs w:val="32"/>
              </w:rPr>
              <w:t>m</w:t>
            </w:r>
            <w:r>
              <w:rPr>
                <w:rFonts w:hint="eastAsia"/>
                <w:color w:val="FF0000"/>
                <w:sz w:val="24"/>
                <w:szCs w:val="32"/>
                <w:vertAlign w:val="superscript"/>
              </w:rPr>
              <w:t>2</w:t>
            </w:r>
            <w:r>
              <w:rPr>
                <w:rFonts w:hint="eastAsia"/>
                <w:color w:val="FF0000"/>
                <w:sz w:val="24"/>
                <w:szCs w:val="32"/>
              </w:rPr>
              <w:t>；</w:t>
            </w:r>
          </w:p>
          <w:p>
            <w:pPr>
              <w:adjustRightInd w:val="0"/>
              <w:snapToGrid w:val="0"/>
              <w:spacing w:line="360" w:lineRule="auto"/>
              <w:ind w:firstLine="480" w:firstLineChars="200"/>
              <w:rPr>
                <w:color w:val="FF0000"/>
                <w:sz w:val="24"/>
                <w:szCs w:val="32"/>
              </w:rPr>
            </w:pPr>
            <w:r>
              <w:rPr>
                <w:rFonts w:hint="eastAsia"/>
                <w:color w:val="FF0000"/>
                <w:sz w:val="24"/>
                <w:szCs w:val="32"/>
              </w:rPr>
              <w:t xml:space="preserve">      Vx---最小控制风速，m/s，本项目污染物放散情况为以较低的速度散发到较平静的空气中，一般取</w:t>
            </w:r>
            <w:r>
              <w:rPr>
                <w:color w:val="FF0000"/>
                <w:sz w:val="24"/>
                <w:szCs w:val="32"/>
              </w:rPr>
              <w:t>0.5~1.0</w:t>
            </w:r>
            <w:r>
              <w:rPr>
                <w:rFonts w:hint="eastAsia"/>
                <w:color w:val="FF0000"/>
                <w:sz w:val="24"/>
                <w:szCs w:val="32"/>
              </w:rPr>
              <w:t>m/s，本项目取</w:t>
            </w:r>
            <w:r>
              <w:rPr>
                <w:color w:val="FF0000"/>
                <w:sz w:val="24"/>
                <w:szCs w:val="32"/>
              </w:rPr>
              <w:t>1.0</w:t>
            </w:r>
            <w:r>
              <w:rPr>
                <w:rFonts w:hint="eastAsia"/>
                <w:color w:val="FF0000"/>
                <w:sz w:val="24"/>
                <w:szCs w:val="32"/>
              </w:rPr>
              <w:t>m/s。</w:t>
            </w:r>
          </w:p>
          <w:p>
            <w:pPr>
              <w:adjustRightInd w:val="0"/>
              <w:snapToGrid w:val="0"/>
              <w:spacing w:line="360" w:lineRule="auto"/>
              <w:ind w:firstLine="480" w:firstLineChars="200"/>
              <w:rPr>
                <w:rFonts w:hint="eastAsia"/>
                <w:color w:val="FF0000"/>
                <w:sz w:val="24"/>
                <w:szCs w:val="32"/>
              </w:rPr>
            </w:pPr>
            <w:r>
              <w:rPr>
                <w:rFonts w:hint="eastAsia"/>
                <w:color w:val="FF0000"/>
                <w:sz w:val="24"/>
                <w:szCs w:val="32"/>
              </w:rPr>
              <w:t>由此计算出单个集气罩的风量为</w:t>
            </w:r>
            <w:r>
              <w:rPr>
                <w:rFonts w:hint="eastAsia"/>
                <w:color w:val="FF0000"/>
                <w:sz w:val="24"/>
                <w:szCs w:val="32"/>
                <w:lang w:val="en-US" w:eastAsia="zh-CN"/>
              </w:rPr>
              <w:t>1.68</w:t>
            </w:r>
            <w:r>
              <w:rPr>
                <w:color w:val="FF0000"/>
                <w:sz w:val="24"/>
                <w:szCs w:val="32"/>
              </w:rPr>
              <w:t>m</w:t>
            </w:r>
            <w:r>
              <w:rPr>
                <w:color w:val="FF0000"/>
                <w:sz w:val="24"/>
                <w:szCs w:val="32"/>
                <w:vertAlign w:val="superscript"/>
              </w:rPr>
              <w:t>3</w:t>
            </w:r>
            <w:r>
              <w:rPr>
                <w:color w:val="FF0000"/>
                <w:sz w:val="24"/>
                <w:szCs w:val="32"/>
              </w:rPr>
              <w:t>/s</w:t>
            </w:r>
            <w:r>
              <w:rPr>
                <w:rFonts w:hint="eastAsia"/>
                <w:color w:val="FF0000"/>
                <w:sz w:val="24"/>
                <w:szCs w:val="32"/>
              </w:rPr>
              <w:t>，喷粉工序共设置</w:t>
            </w:r>
            <w:r>
              <w:rPr>
                <w:rFonts w:hint="eastAsia"/>
                <w:color w:val="FF0000"/>
                <w:sz w:val="24"/>
                <w:szCs w:val="32"/>
                <w:lang w:val="en-US" w:eastAsia="zh-CN"/>
              </w:rPr>
              <w:t>4</w:t>
            </w:r>
            <w:r>
              <w:rPr>
                <w:rFonts w:hint="eastAsia"/>
                <w:color w:val="FF0000"/>
                <w:sz w:val="24"/>
                <w:szCs w:val="32"/>
              </w:rPr>
              <w:t>个集气罩，</w:t>
            </w:r>
            <w:r>
              <w:rPr>
                <w:color w:val="FF0000"/>
                <w:sz w:val="24"/>
                <w:szCs w:val="32"/>
              </w:rPr>
              <w:t>则</w:t>
            </w:r>
            <w:r>
              <w:rPr>
                <w:rFonts w:hint="eastAsia"/>
                <w:color w:val="FF0000"/>
                <w:sz w:val="24"/>
                <w:szCs w:val="32"/>
              </w:rPr>
              <w:t>总风量为</w:t>
            </w:r>
            <w:r>
              <w:rPr>
                <w:rFonts w:hint="eastAsia"/>
                <w:color w:val="FF0000"/>
                <w:sz w:val="24"/>
                <w:szCs w:val="32"/>
                <w:lang w:val="en-US" w:eastAsia="zh-CN"/>
              </w:rPr>
              <w:t>1.68</w:t>
            </w:r>
            <w:r>
              <w:rPr>
                <w:color w:val="FF0000"/>
                <w:sz w:val="24"/>
                <w:szCs w:val="32"/>
              </w:rPr>
              <w:t>m</w:t>
            </w:r>
            <w:r>
              <w:rPr>
                <w:color w:val="FF0000"/>
                <w:sz w:val="24"/>
                <w:szCs w:val="32"/>
                <w:vertAlign w:val="superscript"/>
              </w:rPr>
              <w:t>3</w:t>
            </w:r>
            <w:r>
              <w:rPr>
                <w:color w:val="FF0000"/>
                <w:sz w:val="24"/>
                <w:szCs w:val="32"/>
              </w:rPr>
              <w:t>/s×</w:t>
            </w:r>
            <w:r>
              <w:rPr>
                <w:rFonts w:hint="eastAsia"/>
                <w:color w:val="FF0000"/>
                <w:sz w:val="24"/>
                <w:szCs w:val="32"/>
                <w:lang w:val="en-US" w:eastAsia="zh-CN"/>
              </w:rPr>
              <w:t>4</w:t>
            </w:r>
            <w:r>
              <w:rPr>
                <w:color w:val="FF0000"/>
                <w:sz w:val="24"/>
                <w:szCs w:val="32"/>
              </w:rPr>
              <w:t>=6.</w:t>
            </w:r>
            <w:r>
              <w:rPr>
                <w:rFonts w:hint="eastAsia"/>
                <w:color w:val="FF0000"/>
                <w:sz w:val="24"/>
                <w:szCs w:val="32"/>
                <w:lang w:val="en-US" w:eastAsia="zh-CN"/>
              </w:rPr>
              <w:t>72</w:t>
            </w:r>
            <w:r>
              <w:rPr>
                <w:color w:val="FF0000"/>
                <w:sz w:val="24"/>
                <w:szCs w:val="32"/>
              </w:rPr>
              <w:t>m</w:t>
            </w:r>
            <w:r>
              <w:rPr>
                <w:color w:val="FF0000"/>
                <w:sz w:val="24"/>
                <w:szCs w:val="32"/>
                <w:vertAlign w:val="superscript"/>
              </w:rPr>
              <w:t>3</w:t>
            </w:r>
            <w:r>
              <w:rPr>
                <w:color w:val="FF0000"/>
                <w:sz w:val="24"/>
                <w:szCs w:val="32"/>
              </w:rPr>
              <w:t>/s</w:t>
            </w:r>
            <w:r>
              <w:rPr>
                <w:rFonts w:hint="eastAsia"/>
                <w:color w:val="FF0000"/>
                <w:sz w:val="24"/>
                <w:szCs w:val="32"/>
              </w:rPr>
              <w:t>，即24192m</w:t>
            </w:r>
            <w:r>
              <w:rPr>
                <w:color w:val="FF0000"/>
                <w:sz w:val="24"/>
                <w:szCs w:val="32"/>
                <w:vertAlign w:val="superscript"/>
              </w:rPr>
              <w:t>3</w:t>
            </w:r>
            <w:r>
              <w:rPr>
                <w:color w:val="FF0000"/>
                <w:sz w:val="24"/>
                <w:szCs w:val="32"/>
              </w:rPr>
              <w:t>/h，为保证收集效率，处理风量设计为</w:t>
            </w:r>
            <w:r>
              <w:rPr>
                <w:rFonts w:hint="eastAsia"/>
                <w:color w:val="FF0000"/>
                <w:sz w:val="24"/>
                <w:szCs w:val="32"/>
              </w:rPr>
              <w:t>2</w:t>
            </w:r>
            <w:r>
              <w:rPr>
                <w:rFonts w:hint="eastAsia"/>
                <w:color w:val="FF0000"/>
                <w:sz w:val="24"/>
                <w:szCs w:val="32"/>
                <w:lang w:val="en-US" w:eastAsia="zh-CN"/>
              </w:rPr>
              <w:t>5</w:t>
            </w:r>
            <w:r>
              <w:rPr>
                <w:rFonts w:hint="eastAsia"/>
                <w:color w:val="FF0000"/>
                <w:sz w:val="24"/>
                <w:szCs w:val="32"/>
              </w:rPr>
              <w:t>000m</w:t>
            </w:r>
            <w:r>
              <w:rPr>
                <w:color w:val="FF0000"/>
                <w:sz w:val="24"/>
                <w:szCs w:val="32"/>
                <w:vertAlign w:val="superscript"/>
              </w:rPr>
              <w:t>3</w:t>
            </w:r>
            <w:r>
              <w:rPr>
                <w:color w:val="FF0000"/>
                <w:sz w:val="24"/>
                <w:szCs w:val="32"/>
              </w:rPr>
              <w:t>/h。</w:t>
            </w:r>
          </w:p>
          <w:p>
            <w:pPr>
              <w:adjustRightInd w:val="0"/>
              <w:snapToGrid w:val="0"/>
              <w:spacing w:line="360" w:lineRule="auto"/>
              <w:ind w:firstLine="480" w:firstLineChars="200"/>
              <w:rPr>
                <w:rFonts w:hint="eastAsia"/>
                <w:color w:val="FF0000"/>
              </w:rPr>
            </w:pPr>
            <w:r>
              <w:rPr>
                <w:rFonts w:hint="eastAsia"/>
                <w:color w:val="FF0000"/>
                <w:sz w:val="24"/>
                <w:szCs w:val="32"/>
              </w:rPr>
              <w:t>项目喷粉</w:t>
            </w:r>
            <w:r>
              <w:rPr>
                <w:rFonts w:hint="eastAsia"/>
                <w:color w:val="FF0000"/>
                <w:sz w:val="24"/>
                <w:szCs w:val="32"/>
                <w:lang w:val="en-US" w:eastAsia="zh-CN"/>
              </w:rPr>
              <w:t>粉</w:t>
            </w:r>
            <w:r>
              <w:rPr>
                <w:rFonts w:hint="eastAsia"/>
                <w:color w:val="FF0000"/>
                <w:sz w:val="24"/>
                <w:szCs w:val="32"/>
              </w:rPr>
              <w:t>尘经</w:t>
            </w:r>
            <w:r>
              <w:rPr>
                <w:rFonts w:hint="eastAsia"/>
                <w:color w:val="FF0000"/>
                <w:sz w:val="24"/>
                <w:szCs w:val="32"/>
                <w:lang w:val="en-US" w:eastAsia="zh-CN"/>
              </w:rPr>
              <w:t>除尘</w:t>
            </w:r>
            <w:r>
              <w:rPr>
                <w:rFonts w:hint="eastAsia"/>
                <w:color w:val="FF0000"/>
                <w:sz w:val="24"/>
                <w:szCs w:val="32"/>
              </w:rPr>
              <w:t>系统处理后，最终经15m高排气筒 （排气筒</w:t>
            </w:r>
            <w:r>
              <w:rPr>
                <w:rFonts w:hint="eastAsia"/>
                <w:color w:val="FF0000"/>
                <w:sz w:val="24"/>
                <w:szCs w:val="32"/>
                <w:lang w:val="en-US" w:eastAsia="zh-CN"/>
              </w:rPr>
              <w:t>G1</w:t>
            </w:r>
            <w:r>
              <w:rPr>
                <w:rFonts w:hint="eastAsia"/>
                <w:color w:val="FF0000"/>
                <w:sz w:val="24"/>
                <w:szCs w:val="32"/>
              </w:rPr>
              <w:t xml:space="preserve"> ）排放。项目喷粉粉尘的产排情况详见下表。</w:t>
            </w:r>
          </w:p>
          <w:p>
            <w:pPr>
              <w:pStyle w:val="43"/>
              <w:keepNext w:val="0"/>
              <w:keepLines w:val="0"/>
              <w:pageBreakBefore w:val="0"/>
              <w:widowControl w:val="0"/>
              <w:kinsoku/>
              <w:wordWrap/>
              <w:overflowPunct/>
              <w:topLinePunct w:val="0"/>
              <w:autoSpaceDE/>
              <w:autoSpaceDN/>
              <w:bidi w:val="0"/>
              <w:adjustRightInd w:val="0"/>
              <w:snapToGrid w:val="0"/>
              <w:spacing w:line="240" w:lineRule="auto"/>
              <w:ind w:firstLine="154" w:firstLineChars="73"/>
              <w:jc w:val="center"/>
              <w:textAlignment w:val="auto"/>
              <w:rPr>
                <w:rFonts w:hint="eastAsia"/>
                <w:b/>
                <w:color w:val="FF0000"/>
                <w:sz w:val="21"/>
                <w:szCs w:val="21"/>
              </w:rPr>
            </w:pPr>
            <w:r>
              <w:rPr>
                <w:rFonts w:hint="eastAsia"/>
                <w:b/>
                <w:color w:val="FF0000"/>
                <w:sz w:val="21"/>
                <w:szCs w:val="21"/>
              </w:rPr>
              <w:t>表</w:t>
            </w:r>
            <w:r>
              <w:rPr>
                <w:rFonts w:hint="eastAsia"/>
                <w:b/>
                <w:color w:val="FF0000"/>
                <w:sz w:val="21"/>
                <w:szCs w:val="21"/>
                <w:lang w:val="en-US" w:eastAsia="zh-CN"/>
              </w:rPr>
              <w:t>5-2</w:t>
            </w:r>
            <w:r>
              <w:rPr>
                <w:rFonts w:hint="eastAsia"/>
                <w:b/>
                <w:color w:val="FF0000"/>
                <w:sz w:val="21"/>
                <w:szCs w:val="21"/>
              </w:rPr>
              <w:t xml:space="preserve">  喷粉粉尘产排情况一览表</w:t>
            </w:r>
          </w:p>
          <w:tbl>
            <w:tblPr>
              <w:tblStyle w:val="15"/>
              <w:tblW w:w="83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2"/>
              <w:gridCol w:w="689"/>
              <w:gridCol w:w="1012"/>
              <w:gridCol w:w="944"/>
              <w:gridCol w:w="1036"/>
              <w:gridCol w:w="1056"/>
              <w:gridCol w:w="1017"/>
              <w:gridCol w:w="1012"/>
              <w:gridCol w:w="10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231" w:type="dxa"/>
                  <w:gridSpan w:val="2"/>
                  <w:noWrap w:val="0"/>
                  <w:vAlign w:val="center"/>
                </w:tcPr>
                <w:p>
                  <w:pPr>
                    <w:adjustRightInd w:val="0"/>
                    <w:spacing w:line="240" w:lineRule="auto"/>
                    <w:jc w:val="center"/>
                    <w:rPr>
                      <w:rFonts w:hint="default" w:ascii="Times New Roman" w:hAnsi="Times New Roman" w:cs="Times New Roman"/>
                      <w:b/>
                      <w:bCs/>
                      <w:color w:val="FF0000"/>
                      <w:kern w:val="0"/>
                      <w:sz w:val="21"/>
                      <w:szCs w:val="21"/>
                    </w:rPr>
                  </w:pPr>
                  <w:r>
                    <w:rPr>
                      <w:rFonts w:hint="default" w:ascii="Times New Roman" w:hAnsi="Times New Roman" w:cs="Times New Roman"/>
                      <w:b/>
                      <w:bCs/>
                      <w:color w:val="FF0000"/>
                      <w:kern w:val="0"/>
                      <w:sz w:val="21"/>
                      <w:szCs w:val="21"/>
                    </w:rPr>
                    <w:t>污染物</w:t>
                  </w:r>
                </w:p>
              </w:tc>
              <w:tc>
                <w:tcPr>
                  <w:tcW w:w="1012" w:type="dxa"/>
                  <w:noWrap w:val="0"/>
                  <w:vAlign w:val="center"/>
                </w:tcPr>
                <w:p>
                  <w:pPr>
                    <w:autoSpaceDE w:val="0"/>
                    <w:autoSpaceDN w:val="0"/>
                    <w:adjustRightInd w:val="0"/>
                    <w:spacing w:line="240" w:lineRule="auto"/>
                    <w:jc w:val="center"/>
                    <w:rPr>
                      <w:rFonts w:hint="default" w:ascii="Times New Roman" w:hAnsi="Times New Roman" w:cs="Times New Roman"/>
                      <w:b/>
                      <w:bCs/>
                      <w:color w:val="FF0000"/>
                      <w:kern w:val="0"/>
                      <w:sz w:val="21"/>
                      <w:szCs w:val="21"/>
                    </w:rPr>
                  </w:pPr>
                  <w:r>
                    <w:rPr>
                      <w:rFonts w:hint="default" w:ascii="Times New Roman" w:hAnsi="Times New Roman" w:cs="Times New Roman"/>
                      <w:b/>
                      <w:bCs/>
                      <w:color w:val="FF0000"/>
                      <w:kern w:val="0"/>
                      <w:sz w:val="21"/>
                      <w:szCs w:val="21"/>
                    </w:rPr>
                    <w:t>产生量t/a</w:t>
                  </w:r>
                </w:p>
              </w:tc>
              <w:tc>
                <w:tcPr>
                  <w:tcW w:w="944" w:type="dxa"/>
                  <w:noWrap w:val="0"/>
                  <w:vAlign w:val="center"/>
                </w:tcPr>
                <w:p>
                  <w:pPr>
                    <w:autoSpaceDE w:val="0"/>
                    <w:autoSpaceDN w:val="0"/>
                    <w:adjustRightInd w:val="0"/>
                    <w:spacing w:line="240" w:lineRule="auto"/>
                    <w:jc w:val="center"/>
                    <w:rPr>
                      <w:rFonts w:hint="default" w:ascii="Times New Roman" w:hAnsi="Times New Roman" w:cs="Times New Roman"/>
                      <w:b/>
                      <w:bCs/>
                      <w:color w:val="FF0000"/>
                    </w:rPr>
                  </w:pPr>
                  <w:r>
                    <w:rPr>
                      <w:rFonts w:hint="default" w:ascii="Times New Roman" w:hAnsi="Times New Roman" w:cs="Times New Roman"/>
                      <w:b/>
                      <w:bCs/>
                      <w:color w:val="FF0000"/>
                      <w:kern w:val="0"/>
                      <w:sz w:val="21"/>
                      <w:szCs w:val="21"/>
                      <w:lang w:val="en-US" w:eastAsia="zh-CN"/>
                    </w:rPr>
                    <w:t>产生</w:t>
                  </w:r>
                  <w:r>
                    <w:rPr>
                      <w:rFonts w:hint="default" w:ascii="Times New Roman" w:hAnsi="Times New Roman" w:cs="Times New Roman"/>
                      <w:b/>
                      <w:bCs/>
                      <w:color w:val="FF0000"/>
                      <w:kern w:val="0"/>
                      <w:sz w:val="21"/>
                      <w:szCs w:val="21"/>
                    </w:rPr>
                    <w:t>速率kg/h</w:t>
                  </w:r>
                </w:p>
              </w:tc>
              <w:tc>
                <w:tcPr>
                  <w:tcW w:w="1036" w:type="dxa"/>
                  <w:noWrap w:val="0"/>
                  <w:vAlign w:val="center"/>
                </w:tcPr>
                <w:p>
                  <w:pPr>
                    <w:adjustRightInd w:val="0"/>
                    <w:spacing w:line="240" w:lineRule="auto"/>
                    <w:jc w:val="center"/>
                    <w:rPr>
                      <w:rFonts w:hint="default" w:ascii="Times New Roman" w:hAnsi="Times New Roman" w:cs="Times New Roman"/>
                      <w:b/>
                      <w:bCs/>
                      <w:color w:val="FF0000"/>
                    </w:rPr>
                  </w:pPr>
                  <w:r>
                    <w:rPr>
                      <w:rFonts w:hint="default" w:ascii="Times New Roman" w:hAnsi="Times New Roman" w:cs="Times New Roman"/>
                      <w:b/>
                      <w:bCs/>
                      <w:color w:val="FF0000"/>
                      <w:kern w:val="0"/>
                      <w:sz w:val="21"/>
                      <w:szCs w:val="21"/>
                    </w:rPr>
                    <w:t>产生浓度mg/m</w:t>
                  </w:r>
                  <w:r>
                    <w:rPr>
                      <w:rFonts w:hint="default" w:ascii="Times New Roman" w:hAnsi="Times New Roman" w:cs="Times New Roman"/>
                      <w:b/>
                      <w:bCs/>
                      <w:color w:val="FF0000"/>
                      <w:kern w:val="0"/>
                      <w:sz w:val="21"/>
                      <w:szCs w:val="21"/>
                      <w:vertAlign w:val="superscript"/>
                    </w:rPr>
                    <w:t>3</w:t>
                  </w:r>
                </w:p>
              </w:tc>
              <w:tc>
                <w:tcPr>
                  <w:tcW w:w="1056" w:type="dxa"/>
                  <w:noWrap w:val="0"/>
                  <w:vAlign w:val="center"/>
                </w:tcPr>
                <w:p>
                  <w:pPr>
                    <w:autoSpaceDE w:val="0"/>
                    <w:autoSpaceDN w:val="0"/>
                    <w:adjustRightInd w:val="0"/>
                    <w:spacing w:line="240" w:lineRule="auto"/>
                    <w:jc w:val="center"/>
                    <w:rPr>
                      <w:rFonts w:hint="default" w:ascii="Times New Roman" w:hAnsi="Times New Roman" w:eastAsia="宋体" w:cs="Times New Roman"/>
                      <w:b/>
                      <w:bCs/>
                      <w:color w:val="FF0000"/>
                      <w:kern w:val="0"/>
                      <w:sz w:val="21"/>
                      <w:szCs w:val="21"/>
                      <w:lang w:val="en-US" w:eastAsia="zh-CN"/>
                    </w:rPr>
                  </w:pPr>
                  <w:r>
                    <w:rPr>
                      <w:rFonts w:hint="default" w:ascii="Times New Roman" w:hAnsi="Times New Roman" w:cs="Times New Roman"/>
                      <w:b/>
                      <w:bCs/>
                      <w:color w:val="FF0000"/>
                      <w:kern w:val="0"/>
                      <w:sz w:val="21"/>
                      <w:szCs w:val="21"/>
                      <w:lang w:val="en-US" w:eastAsia="zh-CN"/>
                    </w:rPr>
                    <w:t>处理设施</w:t>
                  </w:r>
                </w:p>
              </w:tc>
              <w:tc>
                <w:tcPr>
                  <w:tcW w:w="1017" w:type="dxa"/>
                  <w:noWrap w:val="0"/>
                  <w:vAlign w:val="center"/>
                </w:tcPr>
                <w:p>
                  <w:pPr>
                    <w:autoSpaceDE w:val="0"/>
                    <w:autoSpaceDN w:val="0"/>
                    <w:adjustRightInd w:val="0"/>
                    <w:spacing w:line="240" w:lineRule="auto"/>
                    <w:jc w:val="center"/>
                    <w:rPr>
                      <w:rFonts w:hint="default" w:ascii="Times New Roman" w:hAnsi="Times New Roman" w:cs="Times New Roman"/>
                      <w:b/>
                      <w:bCs/>
                      <w:color w:val="FF0000"/>
                    </w:rPr>
                  </w:pPr>
                  <w:r>
                    <w:rPr>
                      <w:rFonts w:hint="default" w:ascii="Times New Roman" w:hAnsi="Times New Roman" w:cs="Times New Roman"/>
                      <w:b/>
                      <w:bCs/>
                      <w:color w:val="FF0000"/>
                      <w:kern w:val="0"/>
                      <w:sz w:val="21"/>
                      <w:szCs w:val="21"/>
                    </w:rPr>
                    <w:t>排放量t/a</w:t>
                  </w:r>
                </w:p>
              </w:tc>
              <w:tc>
                <w:tcPr>
                  <w:tcW w:w="1012" w:type="dxa"/>
                  <w:noWrap w:val="0"/>
                  <w:vAlign w:val="center"/>
                </w:tcPr>
                <w:p>
                  <w:pPr>
                    <w:autoSpaceDE w:val="0"/>
                    <w:autoSpaceDN w:val="0"/>
                    <w:adjustRightInd w:val="0"/>
                    <w:spacing w:line="240" w:lineRule="auto"/>
                    <w:jc w:val="center"/>
                    <w:rPr>
                      <w:rFonts w:hint="default" w:ascii="Times New Roman" w:hAnsi="Times New Roman" w:cs="Times New Roman"/>
                      <w:b/>
                      <w:bCs/>
                      <w:color w:val="FF0000"/>
                    </w:rPr>
                  </w:pPr>
                  <w:r>
                    <w:rPr>
                      <w:rFonts w:hint="default" w:ascii="Times New Roman" w:hAnsi="Times New Roman" w:cs="Times New Roman"/>
                      <w:b/>
                      <w:bCs/>
                      <w:color w:val="FF0000"/>
                      <w:kern w:val="0"/>
                      <w:sz w:val="21"/>
                      <w:szCs w:val="21"/>
                    </w:rPr>
                    <w:t>排放速率kg/h</w:t>
                  </w:r>
                </w:p>
              </w:tc>
              <w:tc>
                <w:tcPr>
                  <w:tcW w:w="1012" w:type="dxa"/>
                  <w:noWrap w:val="0"/>
                  <w:vAlign w:val="center"/>
                </w:tcPr>
                <w:p>
                  <w:pPr>
                    <w:autoSpaceDE w:val="0"/>
                    <w:autoSpaceDN w:val="0"/>
                    <w:adjustRightInd w:val="0"/>
                    <w:spacing w:line="240" w:lineRule="auto"/>
                    <w:jc w:val="center"/>
                    <w:rPr>
                      <w:rFonts w:hint="default" w:ascii="Times New Roman" w:hAnsi="Times New Roman" w:cs="Times New Roman"/>
                      <w:b/>
                      <w:bCs/>
                      <w:color w:val="FF0000"/>
                    </w:rPr>
                  </w:pPr>
                  <w:r>
                    <w:rPr>
                      <w:rFonts w:hint="default" w:ascii="Times New Roman" w:hAnsi="Times New Roman" w:cs="Times New Roman"/>
                      <w:b/>
                      <w:bCs/>
                      <w:color w:val="FF0000"/>
                      <w:kern w:val="0"/>
                      <w:sz w:val="21"/>
                      <w:szCs w:val="21"/>
                    </w:rPr>
                    <w:t>排放浓度mg/m</w:t>
                  </w:r>
                  <w:r>
                    <w:rPr>
                      <w:rFonts w:hint="default" w:ascii="Times New Roman" w:hAnsi="Times New Roman" w:cs="Times New Roman"/>
                      <w:b/>
                      <w:bCs/>
                      <w:color w:val="FF0000"/>
                      <w:kern w:val="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542" w:type="dxa"/>
                  <w:vMerge w:val="restart"/>
                  <w:noWrap w:val="0"/>
                  <w:vAlign w:val="center"/>
                </w:tcPr>
                <w:p>
                  <w:pPr>
                    <w:adjustRightInd w:val="0"/>
                    <w:spacing w:line="240" w:lineRule="auto"/>
                    <w:jc w:val="center"/>
                    <w:rPr>
                      <w:rFonts w:hint="default" w:ascii="Times New Roman" w:hAnsi="Times New Roman" w:cs="Times New Roman"/>
                      <w:color w:val="FF0000"/>
                      <w:kern w:val="0"/>
                      <w:sz w:val="21"/>
                      <w:szCs w:val="21"/>
                    </w:rPr>
                  </w:pPr>
                  <w:r>
                    <w:rPr>
                      <w:rFonts w:hint="default" w:ascii="Times New Roman" w:hAnsi="Times New Roman" w:cs="Times New Roman"/>
                      <w:color w:val="FF0000"/>
                      <w:kern w:val="0"/>
                      <w:sz w:val="21"/>
                      <w:szCs w:val="21"/>
                    </w:rPr>
                    <w:t>喷粉粉尘</w:t>
                  </w:r>
                </w:p>
              </w:tc>
              <w:tc>
                <w:tcPr>
                  <w:tcW w:w="689" w:type="dxa"/>
                  <w:noWrap w:val="0"/>
                  <w:vAlign w:val="center"/>
                </w:tcPr>
                <w:p>
                  <w:pPr>
                    <w:adjustRightInd w:val="0"/>
                    <w:spacing w:line="240" w:lineRule="auto"/>
                    <w:jc w:val="center"/>
                    <w:rPr>
                      <w:rFonts w:hint="default" w:ascii="Times New Roman" w:hAnsi="Times New Roman" w:cs="Times New Roman"/>
                      <w:color w:val="FF0000"/>
                      <w:kern w:val="0"/>
                      <w:sz w:val="21"/>
                      <w:szCs w:val="21"/>
                    </w:rPr>
                  </w:pPr>
                  <w:r>
                    <w:rPr>
                      <w:rFonts w:hint="default" w:ascii="Times New Roman" w:hAnsi="Times New Roman" w:cs="Times New Roman"/>
                      <w:color w:val="FF0000"/>
                      <w:kern w:val="0"/>
                      <w:sz w:val="21"/>
                      <w:szCs w:val="21"/>
                    </w:rPr>
                    <w:t>有组织</w:t>
                  </w:r>
                </w:p>
              </w:tc>
              <w:tc>
                <w:tcPr>
                  <w:tcW w:w="1012"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kern w:val="0"/>
                      <w:sz w:val="21"/>
                      <w:szCs w:val="21"/>
                      <w:lang w:val="en-US"/>
                    </w:rPr>
                  </w:pPr>
                  <w:r>
                    <w:rPr>
                      <w:rFonts w:hint="eastAsia" w:cs="Times New Roman"/>
                      <w:i w:val="0"/>
                      <w:color w:val="FF0000"/>
                      <w:kern w:val="0"/>
                      <w:sz w:val="21"/>
                      <w:szCs w:val="21"/>
                      <w:u w:val="none"/>
                      <w:lang w:val="en-US" w:eastAsia="zh-CN" w:bidi="ar"/>
                    </w:rPr>
                    <w:t>2.94</w:t>
                  </w:r>
                </w:p>
              </w:tc>
              <w:tc>
                <w:tcPr>
                  <w:tcW w:w="944"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lang w:val="en-US"/>
                    </w:rPr>
                  </w:pPr>
                  <w:r>
                    <w:rPr>
                      <w:rFonts w:hint="eastAsia" w:cs="Times New Roman"/>
                      <w:i w:val="0"/>
                      <w:color w:val="FF0000"/>
                      <w:kern w:val="0"/>
                      <w:sz w:val="21"/>
                      <w:szCs w:val="21"/>
                      <w:u w:val="none"/>
                      <w:lang w:val="en-US" w:eastAsia="zh-CN" w:bidi="ar"/>
                    </w:rPr>
                    <w:t>1.23</w:t>
                  </w:r>
                </w:p>
              </w:tc>
              <w:tc>
                <w:tcPr>
                  <w:tcW w:w="1036"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lang w:val="en-US"/>
                    </w:rPr>
                  </w:pPr>
                  <w:r>
                    <w:rPr>
                      <w:rFonts w:hint="eastAsia" w:cs="Times New Roman"/>
                      <w:i w:val="0"/>
                      <w:color w:val="FF0000"/>
                      <w:kern w:val="0"/>
                      <w:sz w:val="21"/>
                      <w:szCs w:val="21"/>
                      <w:u w:val="none"/>
                      <w:lang w:val="en-US" w:eastAsia="zh-CN" w:bidi="ar"/>
                    </w:rPr>
                    <w:t>49</w:t>
                  </w:r>
                </w:p>
              </w:tc>
              <w:tc>
                <w:tcPr>
                  <w:tcW w:w="1056" w:type="dxa"/>
                  <w:vMerge w:val="restart"/>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高密度滤芯过</w:t>
                  </w:r>
                  <w:r>
                    <w:rPr>
                      <w:rStyle w:val="44"/>
                      <w:rFonts w:hint="default" w:ascii="Times New Roman" w:hAnsi="Times New Roman" w:eastAsia="宋体" w:cs="Times New Roman"/>
                      <w:color w:val="FF0000"/>
                      <w:lang w:val="en-US" w:eastAsia="zh-CN" w:bidi="ar"/>
                    </w:rPr>
                    <w:t>+</w:t>
                  </w:r>
                  <w:r>
                    <w:rPr>
                      <w:rStyle w:val="45"/>
                      <w:rFonts w:hint="default" w:ascii="Times New Roman" w:hAnsi="Times New Roman" w:cs="Times New Roman"/>
                      <w:color w:val="FF0000"/>
                      <w:lang w:val="en-US" w:eastAsia="zh-CN" w:bidi="ar"/>
                    </w:rPr>
                    <w:t>脉冲反吹清灰</w:t>
                  </w:r>
                </w:p>
              </w:tc>
              <w:tc>
                <w:tcPr>
                  <w:tcW w:w="1017"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lang w:val="en-US"/>
                    </w:rPr>
                  </w:pPr>
                  <w:r>
                    <w:rPr>
                      <w:rFonts w:hint="eastAsia" w:cs="Times New Roman"/>
                      <w:i w:val="0"/>
                      <w:color w:val="FF0000"/>
                      <w:kern w:val="0"/>
                      <w:sz w:val="21"/>
                      <w:szCs w:val="21"/>
                      <w:u w:val="none"/>
                      <w:lang w:val="en-US" w:eastAsia="zh-CN" w:bidi="ar"/>
                    </w:rPr>
                    <w:t>0.147</w:t>
                  </w:r>
                </w:p>
              </w:tc>
              <w:tc>
                <w:tcPr>
                  <w:tcW w:w="1012"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lang w:val="en-US"/>
                    </w:rPr>
                  </w:pPr>
                  <w:r>
                    <w:rPr>
                      <w:rFonts w:hint="eastAsia" w:cs="Times New Roman"/>
                      <w:i w:val="0"/>
                      <w:color w:val="FF0000"/>
                      <w:kern w:val="0"/>
                      <w:sz w:val="21"/>
                      <w:szCs w:val="21"/>
                      <w:u w:val="none"/>
                      <w:lang w:val="en-US" w:eastAsia="zh-CN" w:bidi="ar"/>
                    </w:rPr>
                    <w:t>0.06</w:t>
                  </w:r>
                </w:p>
              </w:tc>
              <w:tc>
                <w:tcPr>
                  <w:tcW w:w="1012"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lang w:val="en-US"/>
                    </w:rPr>
                  </w:pPr>
                  <w:r>
                    <w:rPr>
                      <w:rFonts w:hint="eastAsia" w:cs="Times New Roman"/>
                      <w:i w:val="0"/>
                      <w:color w:val="FF0000"/>
                      <w:kern w:val="0"/>
                      <w:sz w:val="21"/>
                      <w:szCs w:val="21"/>
                      <w:u w:val="none"/>
                      <w:lang w:val="en-US" w:eastAsia="zh-CN" w:bidi="ar"/>
                    </w:rPr>
                    <w:t>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542" w:type="dxa"/>
                  <w:vMerge w:val="continue"/>
                  <w:noWrap w:val="0"/>
                  <w:vAlign w:val="center"/>
                </w:tcPr>
                <w:p>
                  <w:pPr>
                    <w:adjustRightInd w:val="0"/>
                    <w:spacing w:line="240" w:lineRule="auto"/>
                    <w:jc w:val="center"/>
                    <w:rPr>
                      <w:rFonts w:hint="default" w:ascii="Times New Roman" w:hAnsi="Times New Roman" w:cs="Times New Roman"/>
                      <w:color w:val="FF0000"/>
                      <w:kern w:val="0"/>
                      <w:sz w:val="21"/>
                      <w:szCs w:val="21"/>
                    </w:rPr>
                  </w:pPr>
                </w:p>
              </w:tc>
              <w:tc>
                <w:tcPr>
                  <w:tcW w:w="689" w:type="dxa"/>
                  <w:noWrap w:val="0"/>
                  <w:vAlign w:val="center"/>
                </w:tcPr>
                <w:p>
                  <w:pPr>
                    <w:adjustRightInd w:val="0"/>
                    <w:spacing w:line="240" w:lineRule="auto"/>
                    <w:jc w:val="center"/>
                    <w:rPr>
                      <w:rFonts w:hint="default" w:ascii="Times New Roman" w:hAnsi="Times New Roman" w:cs="Times New Roman"/>
                      <w:color w:val="FF0000"/>
                      <w:kern w:val="0"/>
                      <w:sz w:val="21"/>
                      <w:szCs w:val="21"/>
                    </w:rPr>
                  </w:pPr>
                  <w:r>
                    <w:rPr>
                      <w:rFonts w:hint="default" w:ascii="Times New Roman" w:hAnsi="Times New Roman" w:cs="Times New Roman"/>
                      <w:color w:val="FF0000"/>
                      <w:kern w:val="0"/>
                      <w:sz w:val="21"/>
                      <w:szCs w:val="21"/>
                    </w:rPr>
                    <w:t>无组织</w:t>
                  </w:r>
                </w:p>
              </w:tc>
              <w:tc>
                <w:tcPr>
                  <w:tcW w:w="1012" w:type="dxa"/>
                  <w:noWrap w:val="0"/>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FF0000"/>
                      <w:kern w:val="0"/>
                      <w:sz w:val="21"/>
                      <w:szCs w:val="21"/>
                      <w:lang w:val="en-US" w:eastAsia="zh-CN"/>
                    </w:rPr>
                  </w:pPr>
                  <w:r>
                    <w:rPr>
                      <w:rFonts w:hint="default" w:ascii="Times New Roman" w:hAnsi="Times New Roman" w:eastAsia="宋体" w:cs="Times New Roman"/>
                      <w:i w:val="0"/>
                      <w:color w:val="FF0000"/>
                      <w:kern w:val="0"/>
                      <w:sz w:val="21"/>
                      <w:szCs w:val="21"/>
                      <w:u w:val="none"/>
                      <w:lang w:val="en-US" w:eastAsia="zh-CN" w:bidi="ar"/>
                    </w:rPr>
                    <w:t>0.0</w:t>
                  </w:r>
                  <w:r>
                    <w:rPr>
                      <w:rFonts w:hint="eastAsia" w:cs="Times New Roman"/>
                      <w:i w:val="0"/>
                      <w:color w:val="FF0000"/>
                      <w:kern w:val="0"/>
                      <w:sz w:val="21"/>
                      <w:szCs w:val="21"/>
                      <w:u w:val="none"/>
                      <w:lang w:val="en-US" w:eastAsia="zh-CN" w:bidi="ar"/>
                    </w:rPr>
                    <w:t>06</w:t>
                  </w:r>
                </w:p>
              </w:tc>
              <w:tc>
                <w:tcPr>
                  <w:tcW w:w="944"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rPr>
                  </w:pPr>
                  <w:r>
                    <w:rPr>
                      <w:rFonts w:hint="default" w:ascii="Times New Roman" w:hAnsi="Times New Roman" w:eastAsia="宋体" w:cs="Times New Roman"/>
                      <w:i w:val="0"/>
                      <w:color w:val="FF0000"/>
                      <w:kern w:val="0"/>
                      <w:sz w:val="21"/>
                      <w:szCs w:val="21"/>
                      <w:u w:val="none"/>
                      <w:lang w:val="en-US" w:eastAsia="zh-CN" w:bidi="ar"/>
                    </w:rPr>
                    <w:t>0.00</w:t>
                  </w:r>
                  <w:r>
                    <w:rPr>
                      <w:rFonts w:hint="eastAsia" w:cs="Times New Roman"/>
                      <w:i w:val="0"/>
                      <w:color w:val="FF0000"/>
                      <w:kern w:val="0"/>
                      <w:sz w:val="21"/>
                      <w:szCs w:val="21"/>
                      <w:u w:val="none"/>
                      <w:lang w:val="en-US" w:eastAsia="zh-CN" w:bidi="ar"/>
                    </w:rPr>
                    <w:t>2</w:t>
                  </w:r>
                  <w:r>
                    <w:rPr>
                      <w:rFonts w:hint="default" w:ascii="Times New Roman" w:hAnsi="Times New Roman" w:eastAsia="宋体" w:cs="Times New Roman"/>
                      <w:i w:val="0"/>
                      <w:color w:val="FF0000"/>
                      <w:kern w:val="0"/>
                      <w:sz w:val="21"/>
                      <w:szCs w:val="21"/>
                      <w:u w:val="none"/>
                      <w:lang w:val="en-US" w:eastAsia="zh-CN" w:bidi="ar"/>
                    </w:rPr>
                    <w:t>5</w:t>
                  </w:r>
                </w:p>
              </w:tc>
              <w:tc>
                <w:tcPr>
                  <w:tcW w:w="1036"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rPr>
                  </w:pPr>
                  <w:r>
                    <w:rPr>
                      <w:rFonts w:hint="default" w:ascii="Times New Roman" w:hAnsi="Times New Roman" w:eastAsia="宋体" w:cs="Times New Roman"/>
                      <w:i w:val="0"/>
                      <w:color w:val="FF0000"/>
                      <w:kern w:val="0"/>
                      <w:sz w:val="21"/>
                      <w:szCs w:val="21"/>
                      <w:u w:val="none"/>
                      <w:lang w:val="en-US" w:eastAsia="zh-CN" w:bidi="ar"/>
                    </w:rPr>
                    <w:t>/</w:t>
                  </w:r>
                </w:p>
              </w:tc>
              <w:tc>
                <w:tcPr>
                  <w:tcW w:w="1056" w:type="dxa"/>
                  <w:vMerge w:val="continue"/>
                  <w:noWrap w:val="0"/>
                  <w:vAlign w:val="center"/>
                </w:tcPr>
                <w:p>
                  <w:pPr>
                    <w:spacing w:line="240" w:lineRule="auto"/>
                    <w:jc w:val="center"/>
                    <w:rPr>
                      <w:rFonts w:hint="default" w:ascii="Times New Roman" w:hAnsi="Times New Roman" w:cs="Times New Roman"/>
                      <w:color w:val="FF0000"/>
                      <w:kern w:val="0"/>
                      <w:sz w:val="21"/>
                      <w:szCs w:val="21"/>
                    </w:rPr>
                  </w:pPr>
                </w:p>
              </w:tc>
              <w:tc>
                <w:tcPr>
                  <w:tcW w:w="1017"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lang w:val="en-US"/>
                    </w:rPr>
                  </w:pPr>
                  <w:r>
                    <w:rPr>
                      <w:rFonts w:hint="default" w:ascii="Times New Roman" w:hAnsi="Times New Roman" w:eastAsia="宋体" w:cs="Times New Roman"/>
                      <w:i w:val="0"/>
                      <w:color w:val="FF0000"/>
                      <w:kern w:val="0"/>
                      <w:sz w:val="21"/>
                      <w:szCs w:val="21"/>
                      <w:u w:val="none"/>
                      <w:lang w:val="en-US" w:eastAsia="zh-CN" w:bidi="ar"/>
                    </w:rPr>
                    <w:t>0.0</w:t>
                  </w:r>
                  <w:r>
                    <w:rPr>
                      <w:rFonts w:hint="eastAsia" w:cs="Times New Roman"/>
                      <w:i w:val="0"/>
                      <w:color w:val="FF0000"/>
                      <w:kern w:val="0"/>
                      <w:sz w:val="21"/>
                      <w:szCs w:val="21"/>
                      <w:u w:val="none"/>
                      <w:lang w:val="en-US" w:eastAsia="zh-CN" w:bidi="ar"/>
                    </w:rPr>
                    <w:t>06</w:t>
                  </w:r>
                </w:p>
              </w:tc>
              <w:tc>
                <w:tcPr>
                  <w:tcW w:w="1012"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rPr>
                  </w:pPr>
                  <w:r>
                    <w:rPr>
                      <w:rFonts w:hint="default" w:ascii="Times New Roman" w:hAnsi="Times New Roman" w:eastAsia="宋体" w:cs="Times New Roman"/>
                      <w:i w:val="0"/>
                      <w:color w:val="FF0000"/>
                      <w:kern w:val="0"/>
                      <w:sz w:val="21"/>
                      <w:szCs w:val="21"/>
                      <w:u w:val="none"/>
                      <w:lang w:val="en-US" w:eastAsia="zh-CN" w:bidi="ar"/>
                    </w:rPr>
                    <w:t>0.00</w:t>
                  </w:r>
                  <w:r>
                    <w:rPr>
                      <w:rFonts w:hint="eastAsia" w:cs="Times New Roman"/>
                      <w:i w:val="0"/>
                      <w:color w:val="FF0000"/>
                      <w:kern w:val="0"/>
                      <w:sz w:val="21"/>
                      <w:szCs w:val="21"/>
                      <w:u w:val="none"/>
                      <w:lang w:val="en-US" w:eastAsia="zh-CN" w:bidi="ar"/>
                    </w:rPr>
                    <w:t>2</w:t>
                  </w:r>
                  <w:r>
                    <w:rPr>
                      <w:rFonts w:hint="default" w:ascii="Times New Roman" w:hAnsi="Times New Roman" w:eastAsia="宋体" w:cs="Times New Roman"/>
                      <w:i w:val="0"/>
                      <w:color w:val="FF0000"/>
                      <w:kern w:val="0"/>
                      <w:sz w:val="21"/>
                      <w:szCs w:val="21"/>
                      <w:u w:val="none"/>
                      <w:lang w:val="en-US" w:eastAsia="zh-CN" w:bidi="ar"/>
                    </w:rPr>
                    <w:t>5</w:t>
                  </w:r>
                </w:p>
              </w:tc>
              <w:tc>
                <w:tcPr>
                  <w:tcW w:w="1012" w:type="dxa"/>
                  <w:noWrap w:val="0"/>
                  <w:vAlign w:val="center"/>
                </w:tcPr>
                <w:p>
                  <w:pPr>
                    <w:keepNext w:val="0"/>
                    <w:keepLines w:val="0"/>
                    <w:widowControl/>
                    <w:suppressLineNumbers w:val="0"/>
                    <w:spacing w:line="240" w:lineRule="auto"/>
                    <w:jc w:val="center"/>
                    <w:textAlignment w:val="center"/>
                    <w:rPr>
                      <w:rFonts w:hint="default" w:ascii="Times New Roman" w:hAnsi="Times New Roman" w:cs="Times New Roman"/>
                      <w:color w:val="FF0000"/>
                    </w:rPr>
                  </w:pPr>
                  <w:r>
                    <w:rPr>
                      <w:rFonts w:hint="default" w:ascii="Times New Roman" w:hAnsi="Times New Roman" w:eastAsia="宋体" w:cs="Times New Roman"/>
                      <w:i w:val="0"/>
                      <w:color w:val="FF0000"/>
                      <w:kern w:val="0"/>
                      <w:sz w:val="21"/>
                      <w:szCs w:val="21"/>
                      <w:u w:val="none"/>
                      <w:lang w:val="en-US" w:eastAsia="zh-CN" w:bidi="ar"/>
                    </w:rPr>
                    <w:t>/</w:t>
                  </w:r>
                </w:p>
              </w:tc>
            </w:tr>
          </w:tbl>
          <w:p>
            <w:pPr>
              <w:adjustRightInd w:val="0"/>
              <w:snapToGrid w:val="0"/>
              <w:spacing w:line="360" w:lineRule="auto"/>
              <w:ind w:firstLine="422" w:firstLineChars="200"/>
              <w:rPr>
                <w:rFonts w:hint="eastAsia" w:ascii="Times New Roman" w:hAnsi="Times New Roman" w:cs="Times New Roman"/>
                <w:b/>
                <w:bCs/>
                <w:color w:val="FF0000"/>
                <w:sz w:val="21"/>
                <w:szCs w:val="24"/>
                <w:lang w:val="zh-CN"/>
              </w:rPr>
            </w:pPr>
            <w:r>
              <w:rPr>
                <w:rFonts w:hint="eastAsia" w:ascii="Times New Roman" w:hAnsi="Times New Roman" w:cs="Times New Roman"/>
                <w:b/>
                <w:bCs/>
                <w:color w:val="FF0000"/>
                <w:sz w:val="21"/>
                <w:szCs w:val="24"/>
                <w:lang w:val="zh-CN"/>
              </w:rPr>
              <w:t>备注：①滤芯每隔3min振动一次，将吸附的粉末抖落后收集重新回用于生产；②本项目采用“高密度滤芯过+脉冲反吹清灰”除尘系统，对</w:t>
            </w:r>
            <w:r>
              <w:rPr>
                <w:rFonts w:hint="eastAsia" w:ascii="Times New Roman" w:hAnsi="Times New Roman" w:cs="Times New Roman"/>
                <w:b/>
                <w:bCs/>
                <w:color w:val="FF0000"/>
                <w:sz w:val="21"/>
                <w:szCs w:val="24"/>
                <w:lang w:val="en-US" w:eastAsia="zh-CN"/>
              </w:rPr>
              <w:t>粉尘</w:t>
            </w:r>
            <w:r>
              <w:rPr>
                <w:rFonts w:hint="eastAsia" w:ascii="Times New Roman" w:hAnsi="Times New Roman" w:cs="Times New Roman"/>
                <w:b/>
                <w:bCs/>
                <w:color w:val="FF0000"/>
                <w:sz w:val="21"/>
                <w:szCs w:val="24"/>
                <w:lang w:val="zh-CN"/>
              </w:rPr>
              <w:t>的</w:t>
            </w:r>
            <w:r>
              <w:rPr>
                <w:rFonts w:hint="eastAsia" w:ascii="Times New Roman" w:hAnsi="Times New Roman" w:cs="Times New Roman"/>
                <w:b/>
                <w:bCs/>
                <w:color w:val="FF0000"/>
                <w:sz w:val="21"/>
                <w:szCs w:val="24"/>
                <w:lang w:val="en-US" w:eastAsia="zh-CN"/>
              </w:rPr>
              <w:t>除尘</w:t>
            </w:r>
            <w:r>
              <w:rPr>
                <w:rFonts w:hint="eastAsia" w:ascii="Times New Roman" w:hAnsi="Times New Roman" w:cs="Times New Roman"/>
                <w:b/>
                <w:bCs/>
                <w:color w:val="FF0000"/>
                <w:sz w:val="21"/>
                <w:szCs w:val="24"/>
                <w:lang w:val="zh-CN"/>
              </w:rPr>
              <w:t>效率可达 95%以上，本报告按 95%计；③喷粉按年作业2400h</w:t>
            </w:r>
            <w:r>
              <w:rPr>
                <w:rFonts w:hint="eastAsia" w:ascii="Times New Roman" w:hAnsi="Times New Roman" w:cs="Times New Roman"/>
                <w:b/>
                <w:bCs/>
                <w:color w:val="FF0000"/>
                <w:sz w:val="21"/>
                <w:szCs w:val="24"/>
                <w:lang w:val="en-US" w:eastAsia="zh-CN"/>
              </w:rPr>
              <w:t>计算</w:t>
            </w:r>
            <w:r>
              <w:rPr>
                <w:rFonts w:hint="eastAsia" w:ascii="Times New Roman" w:hAnsi="Times New Roman" w:cs="Times New Roman"/>
                <w:b/>
                <w:bCs/>
                <w:color w:val="FF0000"/>
                <w:sz w:val="21"/>
                <w:szCs w:val="24"/>
                <w:lang w:val="zh-CN"/>
              </w:rPr>
              <w:t>。</w:t>
            </w:r>
          </w:p>
          <w:p>
            <w:pPr>
              <w:numPr>
                <w:ilvl w:val="0"/>
                <w:numId w:val="8"/>
              </w:numPr>
              <w:spacing w:line="360" w:lineRule="auto"/>
              <w:rPr>
                <w:b/>
                <w:bCs/>
                <w:color w:val="FF0000"/>
                <w:sz w:val="24"/>
                <w:lang w:val="zh-CN"/>
              </w:rPr>
            </w:pPr>
            <w:r>
              <w:rPr>
                <w:rFonts w:hint="eastAsia"/>
                <w:b/>
                <w:bCs/>
                <w:color w:val="FF0000"/>
                <w:sz w:val="24"/>
                <w:lang w:val="en-US" w:eastAsia="zh-CN"/>
              </w:rPr>
              <w:t>固化</w:t>
            </w:r>
            <w:r>
              <w:rPr>
                <w:rFonts w:hint="eastAsia"/>
                <w:b/>
                <w:bCs/>
                <w:color w:val="FF0000"/>
                <w:sz w:val="24"/>
                <w:lang w:val="zh-CN"/>
              </w:rPr>
              <w:t>废气</w:t>
            </w:r>
          </w:p>
          <w:p>
            <w:pPr>
              <w:adjustRightInd w:val="0"/>
              <w:snapToGrid w:val="0"/>
              <w:spacing w:line="360" w:lineRule="auto"/>
              <w:ind w:firstLine="480" w:firstLineChars="200"/>
              <w:rPr>
                <w:rFonts w:hint="eastAsia" w:ascii="Times New Roman" w:hAnsi="Times New Roman" w:cs="Times New Roman"/>
                <w:color w:val="FF0000"/>
                <w:sz w:val="24"/>
                <w:szCs w:val="32"/>
              </w:rPr>
            </w:pPr>
            <w:r>
              <w:rPr>
                <w:rFonts w:hint="eastAsia" w:ascii="Times New Roman" w:hAnsi="Times New Roman" w:cs="Times New Roman"/>
                <w:color w:val="FF0000"/>
                <w:sz w:val="24"/>
                <w:szCs w:val="32"/>
              </w:rPr>
              <w:t>本项目喷粉后的金属件在烘干固化时，温度在200℃左右，其表面附着的热固性粉末涂料会挥发出少量有机废气，以VOCs进行评价。参考《喷塑行业污染物源强估算及治理方法探讨》（青岛理工大学环境与市政工程学院王世杰、朱童琪、宋洁、张明辉、陈秀硕），烘干过程中固化工序产生的VOCs约占喷粉量的0.3%~0.6%。本项目涂料使用量为</w:t>
            </w:r>
            <w:r>
              <w:rPr>
                <w:rFonts w:hint="eastAsia" w:cs="Times New Roman"/>
                <w:color w:val="FF0000"/>
                <w:sz w:val="24"/>
                <w:szCs w:val="32"/>
                <w:lang w:val="en-US" w:eastAsia="zh-CN"/>
              </w:rPr>
              <w:t>2</w:t>
            </w:r>
            <w:r>
              <w:rPr>
                <w:rFonts w:hint="eastAsia" w:ascii="Times New Roman" w:hAnsi="Times New Roman" w:cs="Times New Roman"/>
                <w:color w:val="FF0000"/>
                <w:sz w:val="24"/>
                <w:szCs w:val="32"/>
                <w:lang w:val="en-US" w:eastAsia="zh-CN"/>
              </w:rPr>
              <w:t>0</w:t>
            </w:r>
            <w:r>
              <w:rPr>
                <w:rFonts w:hint="eastAsia" w:ascii="Times New Roman" w:hAnsi="Times New Roman" w:cs="Times New Roman"/>
                <w:color w:val="FF0000"/>
                <w:sz w:val="24"/>
                <w:szCs w:val="32"/>
              </w:rPr>
              <w:t>t/a，烘干工序中VOCs的产生量取喷粉量的0.6%计算，则本项目VOCs产生量约为0.</w:t>
            </w:r>
            <w:r>
              <w:rPr>
                <w:rFonts w:hint="eastAsia" w:cs="Times New Roman"/>
                <w:color w:val="FF0000"/>
                <w:sz w:val="24"/>
                <w:szCs w:val="32"/>
                <w:lang w:val="en-US" w:eastAsia="zh-CN"/>
              </w:rPr>
              <w:t>12</w:t>
            </w:r>
            <w:r>
              <w:rPr>
                <w:rFonts w:hint="eastAsia" w:ascii="Times New Roman" w:hAnsi="Times New Roman" w:cs="Times New Roman"/>
                <w:color w:val="FF0000"/>
                <w:sz w:val="24"/>
                <w:szCs w:val="32"/>
              </w:rPr>
              <w:t>t/a。</w:t>
            </w:r>
          </w:p>
          <w:p>
            <w:pPr>
              <w:adjustRightInd w:val="0"/>
              <w:snapToGrid w:val="0"/>
              <w:spacing w:line="360" w:lineRule="auto"/>
              <w:ind w:firstLine="480" w:firstLineChars="200"/>
              <w:rPr>
                <w:rFonts w:hint="eastAsia" w:ascii="Times New Roman" w:hAnsi="Times New Roman" w:cs="Times New Roman"/>
                <w:color w:val="FF0000"/>
                <w:sz w:val="24"/>
                <w:szCs w:val="32"/>
              </w:rPr>
            </w:pPr>
            <w:r>
              <w:rPr>
                <w:rFonts w:hint="eastAsia" w:ascii="Times New Roman" w:hAnsi="Times New Roman" w:cs="Times New Roman"/>
                <w:color w:val="FF0000"/>
                <w:sz w:val="24"/>
                <w:szCs w:val="32"/>
              </w:rPr>
              <w:t>固化产生的VOCs通过“水喷淋+UV光解净化器+活性炭吸附装置”处理后经15m高排气筒（G</w:t>
            </w:r>
            <w:r>
              <w:rPr>
                <w:rFonts w:hint="eastAsia" w:ascii="Times New Roman" w:hAnsi="Times New Roman" w:cs="Times New Roman"/>
                <w:color w:val="FF0000"/>
                <w:sz w:val="24"/>
                <w:szCs w:val="32"/>
                <w:lang w:val="en-US" w:eastAsia="zh-CN"/>
              </w:rPr>
              <w:t>2</w:t>
            </w:r>
            <w:r>
              <w:rPr>
                <w:rFonts w:hint="eastAsia" w:ascii="Times New Roman" w:hAnsi="Times New Roman" w:cs="Times New Roman"/>
                <w:color w:val="FF0000"/>
                <w:sz w:val="24"/>
                <w:szCs w:val="32"/>
              </w:rPr>
              <w:t>）排放。本项目炉窑固化线</w:t>
            </w:r>
            <w:r>
              <w:rPr>
                <w:rFonts w:hint="eastAsia" w:ascii="Times New Roman" w:hAnsi="Times New Roman" w:cs="Times New Roman"/>
                <w:color w:val="FF0000"/>
                <w:sz w:val="24"/>
                <w:szCs w:val="32"/>
                <w:lang w:val="en-US" w:eastAsia="zh-CN"/>
              </w:rPr>
              <w:t>2条共</w:t>
            </w:r>
            <w:r>
              <w:rPr>
                <w:rFonts w:hint="eastAsia" w:ascii="Times New Roman" w:hAnsi="Times New Roman" w:cs="Times New Roman"/>
                <w:color w:val="FF0000"/>
                <w:sz w:val="24"/>
                <w:szCs w:val="32"/>
              </w:rPr>
              <w:t>设置</w:t>
            </w:r>
            <w:r>
              <w:rPr>
                <w:rFonts w:hint="eastAsia" w:ascii="Times New Roman" w:hAnsi="Times New Roman" w:cs="Times New Roman"/>
                <w:color w:val="FF0000"/>
                <w:sz w:val="24"/>
                <w:szCs w:val="32"/>
                <w:lang w:val="en-US" w:eastAsia="zh-CN"/>
              </w:rPr>
              <w:t>四</w:t>
            </w:r>
            <w:r>
              <w:rPr>
                <w:rFonts w:hint="eastAsia" w:ascii="Times New Roman" w:hAnsi="Times New Roman" w:cs="Times New Roman"/>
                <w:color w:val="FF0000"/>
                <w:sz w:val="24"/>
                <w:szCs w:val="32"/>
              </w:rPr>
              <w:t>个出入口，本评价建议建设单位在烘道出入口上方设置集气罩，溢出的VOCs通过集气罩收集，收集率以90%计算。为确保固化有机废气的捕集率，建设单位拟采用的措施包括：①针对烘道出入口设计集气罩，罩口尺寸大于产气源的1.2-1.5倍；②集气罩置于出入口正上方，为避免横向气流干扰，罩口距产气源的距离约0.2m；③集气罩上方加装负压吸风装置。UV光解净化法对有机废气的处理效率按50%计，活性炭对有机废气的处理效率按80%计，则综合治理效率为1-（1-50%）×（1-80%）=90%。集气罩口面积设计为2m</w:t>
            </w:r>
            <w:r>
              <w:rPr>
                <w:rFonts w:hint="eastAsia" w:ascii="Times New Roman" w:hAnsi="Times New Roman" w:cs="Times New Roman"/>
                <w:color w:val="FF0000"/>
                <w:sz w:val="24"/>
                <w:szCs w:val="32"/>
                <w:vertAlign w:val="superscript"/>
              </w:rPr>
              <w:t>2</w:t>
            </w:r>
            <w:r>
              <w:rPr>
                <w:rFonts w:hint="eastAsia" w:ascii="Times New Roman" w:hAnsi="Times New Roman" w:cs="Times New Roman"/>
                <w:color w:val="FF0000"/>
                <w:sz w:val="24"/>
                <w:szCs w:val="32"/>
              </w:rPr>
              <w:t>，污染物产生点至罩口距离为0.2m，最小控制风速取0.5m/s，根据上述集气罩风量计算公式，单个集气罩风量为3240m</w:t>
            </w:r>
            <w:r>
              <w:rPr>
                <w:rFonts w:hint="eastAsia" w:ascii="Times New Roman" w:hAnsi="Times New Roman" w:cs="Times New Roman"/>
                <w:color w:val="FF0000"/>
                <w:sz w:val="24"/>
                <w:szCs w:val="32"/>
                <w:vertAlign w:val="superscript"/>
              </w:rPr>
              <w:t>3</w:t>
            </w:r>
            <w:r>
              <w:rPr>
                <w:rFonts w:hint="eastAsia" w:ascii="Times New Roman" w:hAnsi="Times New Roman" w:cs="Times New Roman"/>
                <w:color w:val="FF0000"/>
                <w:sz w:val="24"/>
                <w:szCs w:val="32"/>
              </w:rPr>
              <w:t>/h，为保证收集效率，固化废气处理风量拟设计为</w:t>
            </w:r>
            <w:r>
              <w:rPr>
                <w:rFonts w:hint="eastAsia" w:ascii="Times New Roman" w:hAnsi="Times New Roman" w:cs="Times New Roman"/>
                <w:color w:val="FF0000"/>
                <w:sz w:val="24"/>
                <w:szCs w:val="32"/>
                <w:lang w:val="en-US" w:eastAsia="zh-CN"/>
              </w:rPr>
              <w:t>15</w:t>
            </w:r>
            <w:r>
              <w:rPr>
                <w:rFonts w:hint="eastAsia" w:ascii="Times New Roman" w:hAnsi="Times New Roman" w:cs="Times New Roman"/>
                <w:color w:val="FF0000"/>
                <w:sz w:val="24"/>
                <w:szCs w:val="32"/>
              </w:rPr>
              <w:t>000m</w:t>
            </w:r>
            <w:r>
              <w:rPr>
                <w:rFonts w:hint="eastAsia" w:ascii="Times New Roman" w:hAnsi="Times New Roman" w:cs="Times New Roman"/>
                <w:color w:val="FF0000"/>
                <w:sz w:val="24"/>
                <w:szCs w:val="32"/>
                <w:vertAlign w:val="superscript"/>
              </w:rPr>
              <w:t>3</w:t>
            </w:r>
            <w:r>
              <w:rPr>
                <w:rFonts w:hint="eastAsia" w:ascii="Times New Roman" w:hAnsi="Times New Roman" w:cs="Times New Roman"/>
                <w:color w:val="FF0000"/>
                <w:sz w:val="24"/>
                <w:szCs w:val="32"/>
              </w:rPr>
              <w:t>/h，烘炉年工作300天，每天工作8小时，则VOCs产生及排放情况详见下表。</w:t>
            </w:r>
          </w:p>
          <w:p>
            <w:pPr>
              <w:pStyle w:val="11"/>
              <w:spacing w:line="360" w:lineRule="auto"/>
              <w:ind w:firstLine="422" w:firstLineChars="200"/>
              <w:jc w:val="center"/>
              <w:rPr>
                <w:b/>
                <w:bCs/>
                <w:color w:val="FF0000"/>
                <w:sz w:val="21"/>
                <w:szCs w:val="24"/>
              </w:rPr>
            </w:pPr>
            <w:r>
              <w:rPr>
                <w:b/>
                <w:bCs/>
                <w:color w:val="FF0000"/>
                <w:sz w:val="21"/>
                <w:szCs w:val="21"/>
              </w:rPr>
              <w:t>表</w:t>
            </w:r>
            <w:r>
              <w:rPr>
                <w:rFonts w:hint="eastAsia"/>
                <w:b/>
                <w:bCs/>
                <w:color w:val="FF0000"/>
                <w:sz w:val="21"/>
                <w:szCs w:val="21"/>
              </w:rPr>
              <w:t>5-3</w:t>
            </w:r>
            <w:r>
              <w:rPr>
                <w:b/>
                <w:bCs/>
                <w:color w:val="FF0000"/>
                <w:sz w:val="21"/>
                <w:szCs w:val="21"/>
              </w:rPr>
              <w:t xml:space="preserve">  </w:t>
            </w:r>
            <w:r>
              <w:rPr>
                <w:rFonts w:hint="eastAsia"/>
                <w:b/>
                <w:bCs/>
                <w:color w:val="FF0000"/>
                <w:sz w:val="21"/>
                <w:szCs w:val="21"/>
                <w:lang w:val="en-US" w:eastAsia="zh-CN"/>
              </w:rPr>
              <w:t>固化</w:t>
            </w:r>
            <w:r>
              <w:rPr>
                <w:b/>
                <w:bCs/>
                <w:color w:val="FF0000"/>
                <w:sz w:val="21"/>
                <w:szCs w:val="24"/>
              </w:rPr>
              <w:t>废气产生与排放情况</w:t>
            </w:r>
          </w:p>
          <w:tbl>
            <w:tblPr>
              <w:tblStyle w:val="15"/>
              <w:tblW w:w="84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1"/>
              <w:gridCol w:w="1022"/>
              <w:gridCol w:w="1486"/>
              <w:gridCol w:w="1323"/>
              <w:gridCol w:w="1268"/>
              <w:gridCol w:w="1199"/>
              <w:gridCol w:w="13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843" w:type="dxa"/>
                  <w:gridSpan w:val="2"/>
                  <w:noWrap w:val="0"/>
                  <w:vAlign w:val="center"/>
                </w:tcPr>
                <w:p>
                  <w:pPr>
                    <w:adjustRightInd w:val="0"/>
                    <w:spacing w:line="240" w:lineRule="auto"/>
                    <w:jc w:val="center"/>
                    <w:rPr>
                      <w:b/>
                      <w:bCs/>
                      <w:color w:val="FF0000"/>
                      <w:kern w:val="0"/>
                      <w:sz w:val="21"/>
                      <w:szCs w:val="21"/>
                    </w:rPr>
                  </w:pPr>
                  <w:r>
                    <w:rPr>
                      <w:b/>
                      <w:bCs/>
                      <w:color w:val="FF0000"/>
                      <w:kern w:val="0"/>
                      <w:sz w:val="21"/>
                      <w:szCs w:val="21"/>
                    </w:rPr>
                    <w:t>污染物</w:t>
                  </w:r>
                </w:p>
              </w:tc>
              <w:tc>
                <w:tcPr>
                  <w:tcW w:w="1486" w:type="dxa"/>
                  <w:noWrap w:val="0"/>
                  <w:vAlign w:val="center"/>
                </w:tcPr>
                <w:p>
                  <w:pPr>
                    <w:adjustRightInd w:val="0"/>
                    <w:spacing w:line="240" w:lineRule="auto"/>
                    <w:jc w:val="center"/>
                    <w:rPr>
                      <w:b/>
                      <w:bCs/>
                      <w:color w:val="FF0000"/>
                      <w:kern w:val="0"/>
                      <w:sz w:val="21"/>
                      <w:szCs w:val="21"/>
                    </w:rPr>
                  </w:pPr>
                  <w:r>
                    <w:rPr>
                      <w:b/>
                      <w:bCs/>
                      <w:color w:val="FF0000"/>
                      <w:kern w:val="0"/>
                      <w:sz w:val="21"/>
                      <w:szCs w:val="21"/>
                    </w:rPr>
                    <w:t>产生浓度mg/m</w:t>
                  </w:r>
                  <w:r>
                    <w:rPr>
                      <w:b/>
                      <w:bCs/>
                      <w:color w:val="FF0000"/>
                      <w:kern w:val="0"/>
                      <w:sz w:val="21"/>
                      <w:szCs w:val="21"/>
                      <w:vertAlign w:val="superscript"/>
                    </w:rPr>
                    <w:t>3</w:t>
                  </w:r>
                </w:p>
              </w:tc>
              <w:tc>
                <w:tcPr>
                  <w:tcW w:w="1323" w:type="dxa"/>
                  <w:noWrap w:val="0"/>
                  <w:vAlign w:val="center"/>
                </w:tcPr>
                <w:p>
                  <w:pPr>
                    <w:autoSpaceDE w:val="0"/>
                    <w:autoSpaceDN w:val="0"/>
                    <w:adjustRightInd w:val="0"/>
                    <w:spacing w:line="240" w:lineRule="auto"/>
                    <w:jc w:val="center"/>
                    <w:rPr>
                      <w:b/>
                      <w:bCs/>
                      <w:color w:val="FF0000"/>
                      <w:kern w:val="0"/>
                      <w:sz w:val="21"/>
                      <w:szCs w:val="21"/>
                    </w:rPr>
                  </w:pPr>
                  <w:r>
                    <w:rPr>
                      <w:b/>
                      <w:bCs/>
                      <w:color w:val="FF0000"/>
                      <w:kern w:val="0"/>
                      <w:sz w:val="21"/>
                      <w:szCs w:val="21"/>
                    </w:rPr>
                    <w:t>产生量t/a</w:t>
                  </w:r>
                </w:p>
              </w:tc>
              <w:tc>
                <w:tcPr>
                  <w:tcW w:w="1268" w:type="dxa"/>
                  <w:noWrap w:val="0"/>
                  <w:vAlign w:val="center"/>
                </w:tcPr>
                <w:p>
                  <w:pPr>
                    <w:autoSpaceDE w:val="0"/>
                    <w:autoSpaceDN w:val="0"/>
                    <w:adjustRightInd w:val="0"/>
                    <w:spacing w:line="240" w:lineRule="auto"/>
                    <w:jc w:val="center"/>
                    <w:rPr>
                      <w:b/>
                      <w:bCs/>
                      <w:color w:val="FF0000"/>
                      <w:kern w:val="0"/>
                      <w:sz w:val="21"/>
                      <w:szCs w:val="21"/>
                    </w:rPr>
                  </w:pPr>
                  <w:r>
                    <w:rPr>
                      <w:b/>
                      <w:bCs/>
                      <w:color w:val="FF0000"/>
                      <w:kern w:val="0"/>
                      <w:sz w:val="21"/>
                      <w:szCs w:val="21"/>
                    </w:rPr>
                    <w:t>排放浓度mg/m</w:t>
                  </w:r>
                  <w:r>
                    <w:rPr>
                      <w:b/>
                      <w:bCs/>
                      <w:color w:val="FF0000"/>
                      <w:kern w:val="0"/>
                      <w:sz w:val="21"/>
                      <w:szCs w:val="21"/>
                      <w:vertAlign w:val="superscript"/>
                    </w:rPr>
                    <w:t>3</w:t>
                  </w:r>
                </w:p>
              </w:tc>
              <w:tc>
                <w:tcPr>
                  <w:tcW w:w="1199" w:type="dxa"/>
                  <w:noWrap w:val="0"/>
                  <w:vAlign w:val="center"/>
                </w:tcPr>
                <w:p>
                  <w:pPr>
                    <w:autoSpaceDE w:val="0"/>
                    <w:autoSpaceDN w:val="0"/>
                    <w:adjustRightInd w:val="0"/>
                    <w:spacing w:line="240" w:lineRule="auto"/>
                    <w:jc w:val="center"/>
                    <w:rPr>
                      <w:b/>
                      <w:bCs/>
                      <w:color w:val="FF0000"/>
                      <w:kern w:val="0"/>
                      <w:sz w:val="21"/>
                      <w:szCs w:val="21"/>
                    </w:rPr>
                  </w:pPr>
                  <w:r>
                    <w:rPr>
                      <w:b/>
                      <w:bCs/>
                      <w:color w:val="FF0000"/>
                      <w:kern w:val="0"/>
                      <w:sz w:val="21"/>
                      <w:szCs w:val="21"/>
                    </w:rPr>
                    <w:t>排放速率kg/h</w:t>
                  </w:r>
                </w:p>
              </w:tc>
              <w:tc>
                <w:tcPr>
                  <w:tcW w:w="1321" w:type="dxa"/>
                  <w:noWrap w:val="0"/>
                  <w:vAlign w:val="center"/>
                </w:tcPr>
                <w:p>
                  <w:pPr>
                    <w:autoSpaceDE w:val="0"/>
                    <w:autoSpaceDN w:val="0"/>
                    <w:adjustRightInd w:val="0"/>
                    <w:spacing w:line="240" w:lineRule="auto"/>
                    <w:jc w:val="center"/>
                    <w:rPr>
                      <w:b/>
                      <w:bCs/>
                      <w:color w:val="FF0000"/>
                      <w:kern w:val="0"/>
                      <w:sz w:val="21"/>
                      <w:szCs w:val="21"/>
                    </w:rPr>
                  </w:pPr>
                  <w:r>
                    <w:rPr>
                      <w:b/>
                      <w:bCs/>
                      <w:color w:val="FF0000"/>
                      <w:kern w:val="0"/>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821" w:type="dxa"/>
                  <w:vMerge w:val="restart"/>
                  <w:noWrap w:val="0"/>
                  <w:vAlign w:val="center"/>
                </w:tcPr>
                <w:p>
                  <w:pPr>
                    <w:adjustRightInd w:val="0"/>
                    <w:spacing w:line="240" w:lineRule="auto"/>
                    <w:jc w:val="center"/>
                    <w:rPr>
                      <w:color w:val="FF0000"/>
                      <w:kern w:val="0"/>
                      <w:sz w:val="21"/>
                      <w:szCs w:val="21"/>
                    </w:rPr>
                  </w:pPr>
                  <w:r>
                    <w:rPr>
                      <w:rFonts w:hint="eastAsia"/>
                      <w:color w:val="FF0000"/>
                      <w:kern w:val="0"/>
                      <w:sz w:val="21"/>
                      <w:szCs w:val="21"/>
                    </w:rPr>
                    <w:t>V</w:t>
                  </w:r>
                  <w:r>
                    <w:rPr>
                      <w:color w:val="FF0000"/>
                      <w:kern w:val="0"/>
                      <w:sz w:val="21"/>
                      <w:szCs w:val="21"/>
                    </w:rPr>
                    <w:t>OCs</w:t>
                  </w:r>
                </w:p>
              </w:tc>
              <w:tc>
                <w:tcPr>
                  <w:tcW w:w="1022" w:type="dxa"/>
                  <w:noWrap w:val="0"/>
                  <w:vAlign w:val="center"/>
                </w:tcPr>
                <w:p>
                  <w:pPr>
                    <w:adjustRightInd w:val="0"/>
                    <w:spacing w:line="240" w:lineRule="auto"/>
                    <w:jc w:val="center"/>
                    <w:rPr>
                      <w:color w:val="FF0000"/>
                      <w:kern w:val="0"/>
                      <w:sz w:val="21"/>
                      <w:szCs w:val="21"/>
                    </w:rPr>
                  </w:pPr>
                  <w:r>
                    <w:rPr>
                      <w:rFonts w:hint="eastAsia"/>
                      <w:color w:val="FF0000"/>
                      <w:kern w:val="0"/>
                      <w:sz w:val="21"/>
                      <w:szCs w:val="21"/>
                    </w:rPr>
                    <w:t>有组织</w:t>
                  </w:r>
                </w:p>
              </w:tc>
              <w:tc>
                <w:tcPr>
                  <w:tcW w:w="1486" w:type="dxa"/>
                  <w:noWrap w:val="0"/>
                  <w:vAlign w:val="center"/>
                </w:tcPr>
                <w:p>
                  <w:pPr>
                    <w:keepNext w:val="0"/>
                    <w:keepLines w:val="0"/>
                    <w:widowControl/>
                    <w:suppressLineNumbers w:val="0"/>
                    <w:jc w:val="center"/>
                    <w:textAlignment w:val="center"/>
                    <w:rPr>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3</w:t>
                  </w:r>
                </w:p>
              </w:tc>
              <w:tc>
                <w:tcPr>
                  <w:tcW w:w="1323" w:type="dxa"/>
                  <w:noWrap w:val="0"/>
                  <w:vAlign w:val="center"/>
                </w:tcPr>
                <w:p>
                  <w:pPr>
                    <w:keepNext w:val="0"/>
                    <w:keepLines w:val="0"/>
                    <w:widowControl/>
                    <w:suppressLineNumbers w:val="0"/>
                    <w:jc w:val="center"/>
                    <w:textAlignment w:val="center"/>
                    <w:rPr>
                      <w:rFonts w:ascii="Times New Roman" w:hAnsi="Times New Roman" w:cs="Times New Roman"/>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0.108</w:t>
                  </w:r>
                </w:p>
              </w:tc>
              <w:tc>
                <w:tcPr>
                  <w:tcW w:w="1268" w:type="dxa"/>
                  <w:noWrap w:val="0"/>
                  <w:vAlign w:val="center"/>
                </w:tcPr>
                <w:p>
                  <w:pPr>
                    <w:keepNext w:val="0"/>
                    <w:keepLines w:val="0"/>
                    <w:widowControl/>
                    <w:suppressLineNumbers w:val="0"/>
                    <w:jc w:val="center"/>
                    <w:textAlignment w:val="center"/>
                    <w:rPr>
                      <w:rFonts w:ascii="Times New Roman" w:hAnsi="Times New Roman" w:cs="Times New Roman"/>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0.3</w:t>
                  </w:r>
                </w:p>
              </w:tc>
              <w:tc>
                <w:tcPr>
                  <w:tcW w:w="1199" w:type="dxa"/>
                  <w:noWrap w:val="0"/>
                  <w:vAlign w:val="center"/>
                </w:tcPr>
                <w:p>
                  <w:pPr>
                    <w:keepNext w:val="0"/>
                    <w:keepLines w:val="0"/>
                    <w:widowControl/>
                    <w:suppressLineNumbers w:val="0"/>
                    <w:jc w:val="center"/>
                    <w:textAlignment w:val="center"/>
                    <w:rPr>
                      <w:rFonts w:ascii="Times New Roman" w:hAnsi="Times New Roman" w:cs="Times New Roman"/>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0.00</w:t>
                  </w:r>
                  <w:r>
                    <w:rPr>
                      <w:rFonts w:hint="eastAsia" w:cs="Times New Roman"/>
                      <w:i w:val="0"/>
                      <w:color w:val="FF0000"/>
                      <w:kern w:val="0"/>
                      <w:sz w:val="21"/>
                      <w:szCs w:val="21"/>
                      <w:u w:val="none"/>
                      <w:lang w:val="en-US" w:eastAsia="zh-CN" w:bidi="ar"/>
                    </w:rPr>
                    <w:t>4</w:t>
                  </w:r>
                  <w:r>
                    <w:rPr>
                      <w:rFonts w:hint="default" w:ascii="Times New Roman" w:hAnsi="Times New Roman" w:eastAsia="宋体" w:cs="Times New Roman"/>
                      <w:i w:val="0"/>
                      <w:color w:val="FF0000"/>
                      <w:kern w:val="0"/>
                      <w:sz w:val="21"/>
                      <w:szCs w:val="21"/>
                      <w:u w:val="none"/>
                      <w:lang w:val="en-US" w:eastAsia="zh-CN" w:bidi="ar"/>
                    </w:rPr>
                    <w:t xml:space="preserve">5 </w:t>
                  </w:r>
                </w:p>
              </w:tc>
              <w:tc>
                <w:tcPr>
                  <w:tcW w:w="1321" w:type="dxa"/>
                  <w:noWrap w:val="0"/>
                  <w:vAlign w:val="center"/>
                </w:tcPr>
                <w:p>
                  <w:pPr>
                    <w:keepNext w:val="0"/>
                    <w:keepLines w:val="0"/>
                    <w:widowControl/>
                    <w:suppressLineNumbers w:val="0"/>
                    <w:jc w:val="center"/>
                    <w:textAlignment w:val="center"/>
                    <w:rPr>
                      <w:rFonts w:ascii="Times New Roman" w:hAnsi="Times New Roman" w:cs="Times New Roman"/>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 xml:space="preserve">0.0108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821" w:type="dxa"/>
                  <w:vMerge w:val="continue"/>
                  <w:noWrap w:val="0"/>
                  <w:vAlign w:val="center"/>
                </w:tcPr>
                <w:p>
                  <w:pPr>
                    <w:adjustRightInd w:val="0"/>
                    <w:spacing w:line="240" w:lineRule="auto"/>
                    <w:jc w:val="center"/>
                    <w:rPr>
                      <w:color w:val="FF0000"/>
                      <w:kern w:val="0"/>
                      <w:sz w:val="21"/>
                      <w:szCs w:val="21"/>
                    </w:rPr>
                  </w:pPr>
                </w:p>
              </w:tc>
              <w:tc>
                <w:tcPr>
                  <w:tcW w:w="1022" w:type="dxa"/>
                  <w:noWrap w:val="0"/>
                  <w:vAlign w:val="center"/>
                </w:tcPr>
                <w:p>
                  <w:pPr>
                    <w:adjustRightInd w:val="0"/>
                    <w:spacing w:line="240" w:lineRule="auto"/>
                    <w:jc w:val="center"/>
                    <w:rPr>
                      <w:rFonts w:hint="eastAsia"/>
                      <w:color w:val="FF0000"/>
                      <w:kern w:val="0"/>
                      <w:sz w:val="21"/>
                      <w:szCs w:val="21"/>
                    </w:rPr>
                  </w:pPr>
                  <w:r>
                    <w:rPr>
                      <w:rFonts w:hint="eastAsia"/>
                      <w:color w:val="FF0000"/>
                      <w:kern w:val="0"/>
                      <w:sz w:val="21"/>
                      <w:szCs w:val="21"/>
                    </w:rPr>
                    <w:t>无组织</w:t>
                  </w:r>
                </w:p>
              </w:tc>
              <w:tc>
                <w:tcPr>
                  <w:tcW w:w="1486" w:type="dxa"/>
                  <w:noWrap w:val="0"/>
                  <w:vAlign w:val="center"/>
                </w:tcPr>
                <w:p>
                  <w:pPr>
                    <w:keepNext w:val="0"/>
                    <w:keepLines w:val="0"/>
                    <w:widowControl/>
                    <w:suppressLineNumbers w:val="0"/>
                    <w:jc w:val="center"/>
                    <w:textAlignment w:val="center"/>
                    <w:rPr>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w:t>
                  </w:r>
                </w:p>
              </w:tc>
              <w:tc>
                <w:tcPr>
                  <w:tcW w:w="1323" w:type="dxa"/>
                  <w:noWrap w:val="0"/>
                  <w:vAlign w:val="center"/>
                </w:tcPr>
                <w:p>
                  <w:pPr>
                    <w:keepNext w:val="0"/>
                    <w:keepLines w:val="0"/>
                    <w:widowControl/>
                    <w:suppressLineNumbers w:val="0"/>
                    <w:jc w:val="center"/>
                    <w:textAlignment w:val="center"/>
                    <w:rPr>
                      <w:rFonts w:ascii="Times New Roman" w:hAnsi="Times New Roman" w:cs="Times New Roman"/>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0.012</w:t>
                  </w:r>
                </w:p>
              </w:tc>
              <w:tc>
                <w:tcPr>
                  <w:tcW w:w="1268" w:type="dxa"/>
                  <w:noWrap w:val="0"/>
                  <w:vAlign w:val="center"/>
                </w:tcPr>
                <w:p>
                  <w:pPr>
                    <w:keepNext w:val="0"/>
                    <w:keepLines w:val="0"/>
                    <w:widowControl/>
                    <w:suppressLineNumbers w:val="0"/>
                    <w:jc w:val="center"/>
                    <w:textAlignment w:val="center"/>
                    <w:rPr>
                      <w:rFonts w:ascii="Times New Roman" w:hAnsi="Times New Roman" w:cs="Times New Roman"/>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w:t>
                  </w:r>
                </w:p>
              </w:tc>
              <w:tc>
                <w:tcPr>
                  <w:tcW w:w="1199"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lang w:val="en-US" w:eastAsia="zh-CN"/>
                    </w:rPr>
                  </w:pPr>
                  <w:r>
                    <w:rPr>
                      <w:rFonts w:hint="default" w:ascii="Times New Roman" w:hAnsi="Times New Roman" w:eastAsia="宋体" w:cs="Times New Roman"/>
                      <w:i w:val="0"/>
                      <w:color w:val="FF0000"/>
                      <w:kern w:val="0"/>
                      <w:sz w:val="21"/>
                      <w:szCs w:val="21"/>
                      <w:u w:val="none"/>
                      <w:lang w:val="en-US" w:eastAsia="zh-CN" w:bidi="ar"/>
                    </w:rPr>
                    <w:t xml:space="preserve">0.005 </w:t>
                  </w:r>
                </w:p>
              </w:tc>
              <w:tc>
                <w:tcPr>
                  <w:tcW w:w="1321" w:type="dxa"/>
                  <w:noWrap w:val="0"/>
                  <w:vAlign w:val="center"/>
                </w:tcPr>
                <w:p>
                  <w:pPr>
                    <w:keepNext w:val="0"/>
                    <w:keepLines w:val="0"/>
                    <w:widowControl/>
                    <w:suppressLineNumbers w:val="0"/>
                    <w:jc w:val="center"/>
                    <w:textAlignment w:val="center"/>
                    <w:rPr>
                      <w:rFonts w:ascii="Times New Roman" w:hAnsi="Times New Roman" w:cs="Times New Roman"/>
                      <w:color w:val="FF0000"/>
                      <w:kern w:val="0"/>
                      <w:sz w:val="21"/>
                      <w:szCs w:val="21"/>
                    </w:rPr>
                  </w:pPr>
                  <w:r>
                    <w:rPr>
                      <w:rFonts w:hint="default" w:ascii="Times New Roman" w:hAnsi="Times New Roman" w:eastAsia="宋体" w:cs="Times New Roman"/>
                      <w:i w:val="0"/>
                      <w:color w:val="FF0000"/>
                      <w:kern w:val="0"/>
                      <w:sz w:val="21"/>
                      <w:szCs w:val="21"/>
                      <w:u w:val="none"/>
                      <w:lang w:val="en-US" w:eastAsia="zh-CN" w:bidi="ar"/>
                    </w:rPr>
                    <w:t xml:space="preserve">0.012 </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2" w:firstLineChars="200"/>
              <w:textAlignment w:val="auto"/>
              <w:rPr>
                <w:b/>
                <w:bCs/>
                <w:kern w:val="0"/>
                <w:sz w:val="24"/>
              </w:rPr>
            </w:pPr>
            <w:r>
              <w:rPr>
                <w:rFonts w:hint="eastAsia"/>
                <w:b/>
                <w:bCs/>
                <w:kern w:val="0"/>
                <w:sz w:val="24"/>
              </w:rPr>
              <w:t>③</w:t>
            </w:r>
            <w:r>
              <w:rPr>
                <w:b/>
                <w:bCs/>
                <w:kern w:val="0"/>
                <w:sz w:val="24"/>
              </w:rPr>
              <w:t>燃烧废气</w:t>
            </w:r>
          </w:p>
          <w:p>
            <w:pPr>
              <w:pStyle w:val="22"/>
              <w:rPr>
                <w:rFonts w:ascii="Times New Roman" w:hAnsi="Times New Roman" w:cs="Times New Roman"/>
                <w:sz w:val="24"/>
              </w:rPr>
            </w:pPr>
            <w:r>
              <w:rPr>
                <w:rFonts w:ascii="Times New Roman" w:hAnsi="Times New Roman" w:cs="Times New Roman"/>
                <w:sz w:val="24"/>
              </w:rPr>
              <w:t>本项目</w:t>
            </w:r>
            <w:r>
              <w:rPr>
                <w:rFonts w:hint="eastAsia" w:ascii="Times New Roman" w:hAnsi="Times New Roman" w:cs="Times New Roman"/>
                <w:sz w:val="24"/>
              </w:rPr>
              <w:t>烘炉</w:t>
            </w:r>
            <w:r>
              <w:rPr>
                <w:rFonts w:ascii="Times New Roman" w:hAnsi="Times New Roman" w:cs="Times New Roman"/>
                <w:sz w:val="24"/>
              </w:rPr>
              <w:t>使用管道天然气作为燃料</w:t>
            </w:r>
            <w:r>
              <w:rPr>
                <w:rFonts w:hint="eastAsia" w:ascii="Times New Roman" w:hAnsi="Times New Roman" w:cs="Times New Roman"/>
                <w:sz w:val="24"/>
              </w:rPr>
              <w:t>，天然气燃烧后形成热风，直接接触工件将工件烘干。本项目设有</w:t>
            </w:r>
            <w:r>
              <w:rPr>
                <w:rFonts w:hint="eastAsia" w:ascii="Times New Roman" w:hAnsi="Times New Roman" w:cs="Times New Roman"/>
                <w:sz w:val="24"/>
                <w:lang w:val="en-US" w:eastAsia="zh-CN"/>
              </w:rPr>
              <w:t>1</w:t>
            </w:r>
            <w:r>
              <w:rPr>
                <w:rFonts w:hint="eastAsia" w:ascii="Times New Roman" w:hAnsi="Times New Roman" w:cs="Times New Roman"/>
                <w:sz w:val="24"/>
              </w:rPr>
              <w:t>台天然气燃烧机，燃烧机工作时间为2400h/a，</w:t>
            </w:r>
            <w:r>
              <w:rPr>
                <w:rFonts w:ascii="Times New Roman" w:hAnsi="Times New Roman" w:cs="Times New Roman"/>
                <w:sz w:val="24"/>
              </w:rPr>
              <w:t>耗气量约</w:t>
            </w:r>
            <w:r>
              <w:rPr>
                <w:rFonts w:hint="eastAsia" w:ascii="Times New Roman" w:hAnsi="Times New Roman" w:cs="Times New Roman"/>
                <w:sz w:val="24"/>
                <w:lang w:val="en-US" w:eastAsia="zh-CN"/>
              </w:rPr>
              <w:t>5000</w:t>
            </w:r>
            <w:r>
              <w:rPr>
                <w:rFonts w:ascii="Times New Roman" w:hAnsi="Times New Roman" w:cs="Times New Roman"/>
                <w:sz w:val="24"/>
              </w:rPr>
              <w:t>Nm</w:t>
            </w:r>
            <w:r>
              <w:rPr>
                <w:rFonts w:ascii="Times New Roman" w:hAnsi="Times New Roman" w:cs="Times New Roman"/>
                <w:sz w:val="24"/>
                <w:vertAlign w:val="superscript"/>
              </w:rPr>
              <w:t>3</w:t>
            </w:r>
            <w:r>
              <w:rPr>
                <w:rFonts w:ascii="Times New Roman" w:hAnsi="Times New Roman" w:cs="Times New Roman"/>
                <w:sz w:val="24"/>
              </w:rPr>
              <w:t>/a。天然气属清洁能源，产生的废气较少，</w:t>
            </w:r>
            <w:r>
              <w:rPr>
                <w:rFonts w:hint="eastAsia" w:ascii="Times New Roman" w:hAnsi="Times New Roman" w:cs="Times New Roman"/>
                <w:sz w:val="24"/>
              </w:rPr>
              <w:t>与固化有机废气一起</w:t>
            </w:r>
            <w:r>
              <w:rPr>
                <w:rFonts w:ascii="Times New Roman" w:hAnsi="Times New Roman" w:cs="Times New Roman"/>
                <w:sz w:val="24"/>
              </w:rPr>
              <w:t>收集</w:t>
            </w:r>
            <w:r>
              <w:rPr>
                <w:rFonts w:hint="eastAsia" w:ascii="Times New Roman" w:hAnsi="Times New Roman" w:cs="Times New Roman"/>
                <w:sz w:val="24"/>
              </w:rPr>
              <w:t>处理</w:t>
            </w:r>
            <w:r>
              <w:rPr>
                <w:rFonts w:ascii="Times New Roman" w:hAnsi="Times New Roman" w:cs="Times New Roman"/>
                <w:sz w:val="24"/>
              </w:rPr>
              <w:t>后通过15m高排气筒排放</w:t>
            </w:r>
            <w:r>
              <w:rPr>
                <w:rFonts w:hint="eastAsia" w:ascii="Times New Roman" w:hAnsi="Times New Roman" w:cs="Times New Roman"/>
                <w:sz w:val="24"/>
              </w:rPr>
              <w:t>。根据《排污申报登记实用手册》，1Nm</w:t>
            </w:r>
            <w:r>
              <w:rPr>
                <w:rFonts w:hint="eastAsia" w:ascii="Times New Roman" w:hAnsi="Times New Roman" w:cs="Times New Roman"/>
                <w:sz w:val="24"/>
                <w:vertAlign w:val="superscript"/>
              </w:rPr>
              <w:t>3</w:t>
            </w:r>
            <w:r>
              <w:rPr>
                <w:rFonts w:hint="eastAsia" w:ascii="Times New Roman" w:hAnsi="Times New Roman" w:cs="Times New Roman"/>
                <w:sz w:val="24"/>
              </w:rPr>
              <w:t>天然气完全燃烧产生的废气量为10.89Nm</w:t>
            </w:r>
            <w:r>
              <w:rPr>
                <w:rFonts w:hint="eastAsia" w:ascii="Times New Roman" w:hAnsi="Times New Roman" w:cs="Times New Roman"/>
                <w:sz w:val="24"/>
                <w:vertAlign w:val="superscript"/>
              </w:rPr>
              <w:t>3</w:t>
            </w:r>
            <w:r>
              <w:rPr>
                <w:rFonts w:hint="eastAsia" w:ascii="Times New Roman" w:hAnsi="Times New Roman" w:cs="Times New Roman"/>
                <w:sz w:val="24"/>
              </w:rPr>
              <w:t>。</w:t>
            </w:r>
            <w:r>
              <w:rPr>
                <w:rFonts w:ascii="Times New Roman" w:hAnsi="Times New Roman" w:cs="Times New Roman"/>
                <w:sz w:val="24"/>
              </w:rPr>
              <w:t>根据《</w:t>
            </w:r>
            <w:r>
              <w:rPr>
                <w:rFonts w:hint="eastAsia" w:ascii="Times New Roman" w:hAnsi="Times New Roman" w:cs="Times New Roman"/>
                <w:sz w:val="24"/>
              </w:rPr>
              <w:t>环境保护实用</w:t>
            </w:r>
            <w:r>
              <w:rPr>
                <w:rFonts w:ascii="Times New Roman" w:hAnsi="Times New Roman" w:cs="Times New Roman"/>
                <w:sz w:val="24"/>
              </w:rPr>
              <w:t>数据手册》</w:t>
            </w:r>
            <w:r>
              <w:rPr>
                <w:rFonts w:hint="eastAsia" w:ascii="Times New Roman" w:hAnsi="Times New Roman" w:cs="Times New Roman"/>
                <w:sz w:val="24"/>
              </w:rPr>
              <w:t>（胡</w:t>
            </w:r>
            <w:r>
              <w:rPr>
                <w:rFonts w:ascii="Times New Roman" w:hAnsi="Times New Roman" w:cs="Times New Roman"/>
                <w:sz w:val="24"/>
              </w:rPr>
              <w:t>名操主编</w:t>
            </w:r>
            <w:r>
              <w:rPr>
                <w:rFonts w:hint="eastAsia" w:ascii="Times New Roman" w:hAnsi="Times New Roman" w:cs="Times New Roman"/>
                <w:sz w:val="24"/>
              </w:rPr>
              <w:t>），</w:t>
            </w:r>
            <w:r>
              <w:rPr>
                <w:rFonts w:ascii="Times New Roman" w:hAnsi="Times New Roman" w:cs="Times New Roman"/>
                <w:sz w:val="24"/>
              </w:rPr>
              <w:t>天然气燃烧烟气中大气污染物产生系数约为</w:t>
            </w:r>
            <w:r>
              <w:rPr>
                <w:rFonts w:hint="eastAsia" w:ascii="Times New Roman" w:hAnsi="Times New Roman" w:cs="Times New Roman"/>
                <w:sz w:val="24"/>
              </w:rPr>
              <w:t>烟尘240</w:t>
            </w:r>
            <w:r>
              <w:rPr>
                <w:rFonts w:ascii="Times New Roman" w:hAnsi="Times New Roman" w:cs="Times New Roman"/>
                <w:sz w:val="24"/>
              </w:rPr>
              <w:t>kg/10</w:t>
            </w:r>
            <w:r>
              <w:rPr>
                <w:rFonts w:ascii="Times New Roman" w:hAnsi="Times New Roman" w:cs="Times New Roman"/>
                <w:sz w:val="24"/>
                <w:vertAlign w:val="superscript"/>
              </w:rPr>
              <w:t>6</w:t>
            </w:r>
            <w:r>
              <w:rPr>
                <w:rFonts w:ascii="Times New Roman" w:hAnsi="Times New Roman" w:cs="Times New Roman"/>
                <w:sz w:val="24"/>
              </w:rPr>
              <w:t>m</w:t>
            </w:r>
            <w:r>
              <w:rPr>
                <w:rFonts w:ascii="Times New Roman" w:hAnsi="Times New Roman" w:cs="Times New Roman"/>
                <w:sz w:val="24"/>
                <w:vertAlign w:val="superscript"/>
              </w:rPr>
              <w:t>3</w:t>
            </w:r>
            <w:r>
              <w:rPr>
                <w:rFonts w:hint="eastAsia" w:ascii="Times New Roman" w:hAnsi="Times New Roman" w:cs="Times New Roman"/>
                <w:sz w:val="24"/>
              </w:rPr>
              <w:t>、SO</w:t>
            </w:r>
            <w:r>
              <w:rPr>
                <w:rFonts w:hint="eastAsia" w:ascii="Times New Roman" w:hAnsi="Times New Roman" w:cs="Times New Roman"/>
                <w:sz w:val="24"/>
                <w:vertAlign w:val="subscript"/>
              </w:rPr>
              <w:t>2</w:t>
            </w:r>
            <w:r>
              <w:rPr>
                <w:rFonts w:hint="eastAsia" w:ascii="Times New Roman" w:hAnsi="Times New Roman" w:cs="Times New Roman"/>
                <w:sz w:val="24"/>
              </w:rPr>
              <w:t xml:space="preserve"> 1kg/10</w:t>
            </w:r>
            <w:r>
              <w:rPr>
                <w:rFonts w:hint="eastAsia" w:ascii="Times New Roman" w:hAnsi="Times New Roman" w:cs="Times New Roman"/>
                <w:sz w:val="24"/>
                <w:vertAlign w:val="superscript"/>
              </w:rPr>
              <w:t>6</w:t>
            </w:r>
            <w:r>
              <w:rPr>
                <w:rFonts w:hint="eastAsia" w:ascii="Times New Roman" w:hAnsi="Times New Roman" w:cs="Times New Roman"/>
                <w:sz w:val="24"/>
              </w:rPr>
              <w:t>m</w:t>
            </w:r>
            <w:r>
              <w:rPr>
                <w:rFonts w:hint="eastAsia" w:ascii="Times New Roman" w:hAnsi="Times New Roman" w:cs="Times New Roman"/>
                <w:sz w:val="24"/>
                <w:vertAlign w:val="superscript"/>
              </w:rPr>
              <w:t>3</w:t>
            </w:r>
            <w:r>
              <w:rPr>
                <w:rFonts w:hint="eastAsia" w:ascii="Times New Roman" w:hAnsi="Times New Roman" w:cs="Times New Roman"/>
                <w:sz w:val="24"/>
              </w:rPr>
              <w:t>、NO</w:t>
            </w:r>
            <w:r>
              <w:rPr>
                <w:rFonts w:ascii="Times New Roman" w:hAnsi="Times New Roman" w:cs="Times New Roman"/>
                <w:sz w:val="24"/>
              </w:rPr>
              <w:t>x</w:t>
            </w:r>
            <w:r>
              <w:rPr>
                <w:rFonts w:hint="eastAsia" w:ascii="Times New Roman" w:hAnsi="Times New Roman" w:cs="Times New Roman"/>
                <w:sz w:val="24"/>
              </w:rPr>
              <w:t xml:space="preserve"> </w:t>
            </w:r>
            <w:r>
              <w:rPr>
                <w:rFonts w:ascii="Times New Roman" w:hAnsi="Times New Roman" w:cs="Times New Roman"/>
                <w:sz w:val="24"/>
              </w:rPr>
              <w:t>630kg</w:t>
            </w:r>
            <w:r>
              <w:rPr>
                <w:rFonts w:hint="eastAsia" w:ascii="Times New Roman" w:hAnsi="Times New Roman" w:cs="Times New Roman"/>
                <w:sz w:val="24"/>
              </w:rPr>
              <w:t>/10</w:t>
            </w:r>
            <w:r>
              <w:rPr>
                <w:rFonts w:hint="eastAsia" w:ascii="Times New Roman" w:hAnsi="Times New Roman" w:cs="Times New Roman"/>
                <w:sz w:val="24"/>
                <w:vertAlign w:val="superscript"/>
              </w:rPr>
              <w:t>6</w:t>
            </w:r>
            <w:r>
              <w:rPr>
                <w:rFonts w:ascii="Times New Roman" w:hAnsi="Times New Roman" w:cs="Times New Roman"/>
                <w:sz w:val="24"/>
              </w:rPr>
              <w:t>m</w:t>
            </w:r>
            <w:r>
              <w:rPr>
                <w:rFonts w:ascii="Times New Roman" w:hAnsi="Times New Roman" w:cs="Times New Roman"/>
                <w:sz w:val="24"/>
                <w:vertAlign w:val="superscript"/>
              </w:rPr>
              <w:t>3</w:t>
            </w:r>
            <w:r>
              <w:rPr>
                <w:rFonts w:hint="eastAsia" w:ascii="Times New Roman" w:hAnsi="Times New Roman" w:cs="Times New Roman"/>
                <w:sz w:val="24"/>
              </w:rPr>
              <w:t>，具体</w:t>
            </w:r>
            <w:r>
              <w:rPr>
                <w:rFonts w:ascii="Times New Roman" w:hAnsi="Times New Roman" w:cs="Times New Roman"/>
                <w:sz w:val="24"/>
              </w:rPr>
              <w:t>天然气烟气污染物排放量见</w:t>
            </w:r>
            <w:r>
              <w:rPr>
                <w:rFonts w:hint="eastAsia" w:ascii="Times New Roman" w:hAnsi="Times New Roman" w:cs="Times New Roman"/>
                <w:sz w:val="24"/>
              </w:rPr>
              <w:t>下表</w:t>
            </w:r>
            <w:r>
              <w:rPr>
                <w:rFonts w:ascii="Times New Roman" w:hAnsi="Times New Roman" w:cs="Times New Roman"/>
                <w:sz w:val="24"/>
              </w:rPr>
              <w:t>。</w:t>
            </w:r>
          </w:p>
          <w:p>
            <w:pPr>
              <w:jc w:val="center"/>
              <w:rPr>
                <w:rFonts w:hint="eastAsia"/>
                <w:b/>
                <w:bCs/>
                <w:color w:val="auto"/>
                <w:sz w:val="21"/>
                <w:szCs w:val="21"/>
              </w:rPr>
            </w:pPr>
            <w:r>
              <w:rPr>
                <w:b/>
                <w:bCs/>
                <w:color w:val="auto"/>
                <w:sz w:val="21"/>
                <w:szCs w:val="21"/>
              </w:rPr>
              <w:t>表</w:t>
            </w:r>
            <w:r>
              <w:rPr>
                <w:rFonts w:hint="eastAsia"/>
                <w:b/>
                <w:bCs/>
                <w:color w:val="auto"/>
                <w:sz w:val="21"/>
                <w:szCs w:val="21"/>
                <w:lang w:val="en-US" w:eastAsia="zh-CN"/>
              </w:rPr>
              <w:t>5-4</w:t>
            </w:r>
            <w:r>
              <w:rPr>
                <w:b/>
                <w:bCs/>
                <w:color w:val="auto"/>
                <w:sz w:val="21"/>
                <w:szCs w:val="21"/>
              </w:rPr>
              <w:t xml:space="preserve">  天然气</w:t>
            </w:r>
            <w:r>
              <w:rPr>
                <w:rFonts w:hint="eastAsia"/>
                <w:b/>
                <w:bCs/>
                <w:color w:val="auto"/>
                <w:sz w:val="21"/>
                <w:szCs w:val="21"/>
              </w:rPr>
              <w:t>燃烧</w:t>
            </w:r>
            <w:r>
              <w:rPr>
                <w:b/>
                <w:bCs/>
                <w:color w:val="auto"/>
                <w:sz w:val="21"/>
                <w:szCs w:val="21"/>
              </w:rPr>
              <w:t>污染物排放情况</w:t>
            </w:r>
          </w:p>
          <w:tbl>
            <w:tblPr>
              <w:tblStyle w:val="15"/>
              <w:tblW w:w="84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293"/>
              <w:gridCol w:w="1153"/>
              <w:gridCol w:w="1249"/>
              <w:gridCol w:w="900"/>
              <w:gridCol w:w="968"/>
              <w:gridCol w:w="1119"/>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1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污染物</w:t>
                  </w:r>
                </w:p>
              </w:tc>
              <w:tc>
                <w:tcPr>
                  <w:tcW w:w="12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产污系数</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w:t>
                  </w:r>
                  <w:r>
                    <w:rPr>
                      <w:rFonts w:hint="default" w:ascii="Times New Roman" w:hAnsi="Times New Roman" w:cs="Times New Roman"/>
                      <w:b/>
                      <w:bCs/>
                      <w:color w:val="auto"/>
                      <w:sz w:val="21"/>
                      <w:szCs w:val="21"/>
                    </w:rPr>
                    <w:t>kg/10</w:t>
                  </w:r>
                  <w:r>
                    <w:rPr>
                      <w:rFonts w:hint="default" w:ascii="Times New Roman" w:hAnsi="Times New Roman" w:cs="Times New Roman"/>
                      <w:b/>
                      <w:bCs/>
                      <w:color w:val="auto"/>
                      <w:sz w:val="21"/>
                      <w:szCs w:val="21"/>
                      <w:vertAlign w:val="superscript"/>
                    </w:rPr>
                    <w:t>6</w:t>
                  </w:r>
                  <w:r>
                    <w:rPr>
                      <w:rFonts w:hint="default" w:ascii="Times New Roman" w:hAnsi="Times New Roman" w:cs="Times New Roman"/>
                      <w:b/>
                      <w:bCs/>
                      <w:color w:val="auto"/>
                      <w:sz w:val="21"/>
                      <w:szCs w:val="21"/>
                    </w:rPr>
                    <w:t>m</w:t>
                  </w:r>
                  <w:r>
                    <w:rPr>
                      <w:rFonts w:hint="default" w:ascii="Times New Roman" w:hAnsi="Times New Roman" w:cs="Times New Roman"/>
                      <w:bCs/>
                      <w:color w:val="auto"/>
                      <w:sz w:val="21"/>
                      <w:szCs w:val="21"/>
                      <w:vertAlign w:val="superscript"/>
                    </w:rPr>
                    <w:t>3</w:t>
                  </w:r>
                  <w:r>
                    <w:rPr>
                      <w:rFonts w:hint="default" w:ascii="Times New Roman" w:hAnsi="Times New Roman" w:cs="Times New Roman"/>
                      <w:b/>
                      <w:color w:val="auto"/>
                      <w:sz w:val="21"/>
                      <w:szCs w:val="21"/>
                    </w:rPr>
                    <w:t>）</w:t>
                  </w:r>
                </w:p>
              </w:tc>
              <w:tc>
                <w:tcPr>
                  <w:tcW w:w="115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天然气</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用量（</w:t>
                  </w:r>
                  <w:r>
                    <w:rPr>
                      <w:rFonts w:hint="default" w:ascii="Times New Roman" w:hAnsi="Times New Roman" w:cs="Times New Roman"/>
                      <w:b/>
                      <w:bCs/>
                      <w:color w:val="auto"/>
                      <w:sz w:val="21"/>
                      <w:szCs w:val="21"/>
                    </w:rPr>
                    <w:t>Nm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/a</w:t>
                  </w:r>
                  <w:r>
                    <w:rPr>
                      <w:rFonts w:hint="default" w:ascii="Times New Roman" w:hAnsi="Times New Roman" w:cs="Times New Roman"/>
                      <w:b/>
                      <w:color w:val="auto"/>
                      <w:sz w:val="21"/>
                      <w:szCs w:val="21"/>
                    </w:rPr>
                    <w:t>）</w:t>
                  </w:r>
                </w:p>
              </w:tc>
              <w:tc>
                <w:tcPr>
                  <w:tcW w:w="124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废气量产生系数（Nm</w:t>
                  </w:r>
                  <w:r>
                    <w:rPr>
                      <w:rFonts w:hint="default" w:ascii="Times New Roman" w:hAnsi="Times New Roman" w:cs="Times New Roman"/>
                      <w:b/>
                      <w:color w:val="auto"/>
                      <w:sz w:val="21"/>
                      <w:szCs w:val="21"/>
                      <w:vertAlign w:val="superscript"/>
                    </w:rPr>
                    <w:t>3</w:t>
                  </w:r>
                  <w:r>
                    <w:rPr>
                      <w:rFonts w:hint="default" w:ascii="Times New Roman" w:hAnsi="Times New Roman" w:cs="Times New Roman"/>
                      <w:b/>
                      <w:color w:val="auto"/>
                      <w:sz w:val="21"/>
                      <w:szCs w:val="21"/>
                    </w:rPr>
                    <w:t>/m</w:t>
                  </w:r>
                  <w:r>
                    <w:rPr>
                      <w:rFonts w:hint="default" w:ascii="Times New Roman" w:hAnsi="Times New Roman" w:cs="Times New Roman"/>
                      <w:b/>
                      <w:color w:val="auto"/>
                      <w:sz w:val="21"/>
                      <w:szCs w:val="21"/>
                      <w:vertAlign w:val="superscript"/>
                    </w:rPr>
                    <w:t>3</w:t>
                  </w:r>
                  <w:r>
                    <w:rPr>
                      <w:rFonts w:hint="default" w:ascii="Times New Roman" w:hAnsi="Times New Roman" w:cs="Times New Roman"/>
                      <w:b/>
                      <w:color w:val="auto"/>
                      <w:sz w:val="21"/>
                      <w:szCs w:val="21"/>
                    </w:rPr>
                    <w:t>）</w:t>
                  </w:r>
                </w:p>
              </w:tc>
              <w:tc>
                <w:tcPr>
                  <w:tcW w:w="9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废气量（Nm</w:t>
                  </w:r>
                  <w:r>
                    <w:rPr>
                      <w:rFonts w:hint="default" w:ascii="Times New Roman" w:hAnsi="Times New Roman" w:cs="Times New Roman"/>
                      <w:b/>
                      <w:color w:val="auto"/>
                      <w:sz w:val="21"/>
                      <w:szCs w:val="21"/>
                      <w:vertAlign w:val="superscript"/>
                    </w:rPr>
                    <w:t>3</w:t>
                  </w:r>
                  <w:r>
                    <w:rPr>
                      <w:rFonts w:hint="default" w:ascii="Times New Roman" w:hAnsi="Times New Roman" w:cs="Times New Roman"/>
                      <w:b/>
                      <w:color w:val="auto"/>
                      <w:sz w:val="21"/>
                      <w:szCs w:val="21"/>
                    </w:rPr>
                    <w:t>/a）</w:t>
                  </w:r>
                </w:p>
              </w:tc>
              <w:tc>
                <w:tcPr>
                  <w:tcW w:w="96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产生量</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（kg/a）</w:t>
                  </w:r>
                </w:p>
              </w:tc>
              <w:tc>
                <w:tcPr>
                  <w:tcW w:w="111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产生浓度</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（mg/m</w:t>
                  </w:r>
                  <w:r>
                    <w:rPr>
                      <w:rFonts w:hint="default" w:ascii="Times New Roman" w:hAnsi="Times New Roman" w:cs="Times New Roman"/>
                      <w:b/>
                      <w:color w:val="auto"/>
                      <w:sz w:val="21"/>
                      <w:szCs w:val="21"/>
                      <w:vertAlign w:val="superscript"/>
                    </w:rPr>
                    <w:t>3</w:t>
                  </w:r>
                  <w:r>
                    <w:rPr>
                      <w:rFonts w:hint="default" w:ascii="Times New Roman" w:hAnsi="Times New Roman" w:cs="Times New Roman"/>
                      <w:b/>
                      <w:color w:val="auto"/>
                      <w:sz w:val="21"/>
                      <w:szCs w:val="21"/>
                    </w:rPr>
                    <w:t>）</w:t>
                  </w:r>
                </w:p>
              </w:tc>
              <w:tc>
                <w:tcPr>
                  <w:tcW w:w="10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产生速率（kg/h）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1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烟尘</w:t>
                  </w:r>
                </w:p>
              </w:tc>
              <w:tc>
                <w:tcPr>
                  <w:tcW w:w="12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bCs/>
                      <w:color w:val="auto"/>
                      <w:sz w:val="21"/>
                      <w:szCs w:val="21"/>
                    </w:rPr>
                    <w:t>240</w:t>
                  </w:r>
                </w:p>
              </w:tc>
              <w:tc>
                <w:tcPr>
                  <w:tcW w:w="115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sz w:val="21"/>
                      <w:szCs w:val="21"/>
                      <w:lang w:val="en-US" w:eastAsia="zh-CN"/>
                    </w:rPr>
                    <w:t>5000</w:t>
                  </w:r>
                </w:p>
              </w:tc>
              <w:tc>
                <w:tcPr>
                  <w:tcW w:w="124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10.89</w:t>
                  </w:r>
                </w:p>
              </w:tc>
              <w:tc>
                <w:tcPr>
                  <w:tcW w:w="900" w:type="dxa"/>
                  <w:vMerge w:val="restar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54450</w:t>
                  </w:r>
                </w:p>
              </w:tc>
              <w:tc>
                <w:tcPr>
                  <w:tcW w:w="96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1.2</w:t>
                  </w:r>
                </w:p>
              </w:tc>
              <w:tc>
                <w:tcPr>
                  <w:tcW w:w="111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22.04 </w:t>
                  </w:r>
                </w:p>
              </w:tc>
              <w:tc>
                <w:tcPr>
                  <w:tcW w:w="1047"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1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p>
              </w:tc>
              <w:tc>
                <w:tcPr>
                  <w:tcW w:w="12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bCs/>
                      <w:color w:val="auto"/>
                      <w:sz w:val="21"/>
                      <w:szCs w:val="21"/>
                    </w:rPr>
                    <w:t>1</w:t>
                  </w:r>
                </w:p>
              </w:tc>
              <w:tc>
                <w:tcPr>
                  <w:tcW w:w="1153" w:type="dxa"/>
                  <w:vMerge w:val="continue"/>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12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900" w:type="dxa"/>
                  <w:vMerge w:val="continue"/>
                  <w:noWrap w:val="0"/>
                  <w:vAlign w:val="center"/>
                </w:tcPr>
                <w:p>
                  <w:pPr>
                    <w:jc w:val="center"/>
                    <w:rPr>
                      <w:rFonts w:hint="default" w:ascii="Times New Roman" w:hAnsi="Times New Roman" w:cs="Times New Roman"/>
                      <w:color w:val="auto"/>
                      <w:sz w:val="21"/>
                      <w:szCs w:val="21"/>
                    </w:rPr>
                  </w:pPr>
                </w:p>
              </w:tc>
              <w:tc>
                <w:tcPr>
                  <w:tcW w:w="96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0.005</w:t>
                  </w:r>
                </w:p>
              </w:tc>
              <w:tc>
                <w:tcPr>
                  <w:tcW w:w="111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0.09 </w:t>
                  </w:r>
                </w:p>
              </w:tc>
              <w:tc>
                <w:tcPr>
                  <w:tcW w:w="1047"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0.000002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1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x</w:t>
                  </w:r>
                </w:p>
              </w:tc>
              <w:tc>
                <w:tcPr>
                  <w:tcW w:w="129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bCs/>
                      <w:color w:val="auto"/>
                      <w:sz w:val="21"/>
                      <w:szCs w:val="21"/>
                    </w:rPr>
                    <w:t>630</w:t>
                  </w:r>
                </w:p>
              </w:tc>
              <w:tc>
                <w:tcPr>
                  <w:tcW w:w="1153" w:type="dxa"/>
                  <w:vMerge w:val="continue"/>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124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rPr>
                  </w:pPr>
                </w:p>
              </w:tc>
              <w:tc>
                <w:tcPr>
                  <w:tcW w:w="900" w:type="dxa"/>
                  <w:vMerge w:val="continue"/>
                  <w:noWrap w:val="0"/>
                  <w:vAlign w:val="center"/>
                </w:tcPr>
                <w:p>
                  <w:pPr>
                    <w:jc w:val="center"/>
                    <w:rPr>
                      <w:rFonts w:hint="default" w:ascii="Times New Roman" w:hAnsi="Times New Roman" w:cs="Times New Roman"/>
                      <w:color w:val="auto"/>
                      <w:sz w:val="21"/>
                      <w:szCs w:val="21"/>
                    </w:rPr>
                  </w:pPr>
                </w:p>
              </w:tc>
              <w:tc>
                <w:tcPr>
                  <w:tcW w:w="96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3.15</w:t>
                  </w:r>
                </w:p>
              </w:tc>
              <w:tc>
                <w:tcPr>
                  <w:tcW w:w="111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57.85 </w:t>
                  </w:r>
                </w:p>
              </w:tc>
              <w:tc>
                <w:tcPr>
                  <w:tcW w:w="1047"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0.0013 </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2" w:firstLineChars="200"/>
              <w:textAlignment w:val="auto"/>
              <w:rPr>
                <w:b/>
                <w:sz w:val="24"/>
                <w:lang w:val="zh-CN"/>
              </w:rPr>
            </w:pPr>
            <w:r>
              <w:rPr>
                <w:rFonts w:hint="eastAsia"/>
                <w:b/>
                <w:sz w:val="24"/>
                <w:lang w:val="zh-CN"/>
              </w:rPr>
              <w:t>（3）噪声</w:t>
            </w:r>
          </w:p>
          <w:p>
            <w:pPr>
              <w:tabs>
                <w:tab w:val="left" w:pos="0"/>
              </w:tabs>
              <w:snapToGrid w:val="0"/>
              <w:spacing w:line="360" w:lineRule="auto"/>
              <w:ind w:firstLine="480" w:firstLineChars="200"/>
              <w:rPr>
                <w:rFonts w:hint="eastAsia" w:ascii="Times New Roman" w:hAnsi="Times New Roman" w:cs="Times New Roman"/>
                <w:sz w:val="24"/>
                <w:lang w:val="zh-CN"/>
              </w:rPr>
            </w:pPr>
            <w:r>
              <w:rPr>
                <w:rFonts w:hint="eastAsia" w:ascii="Times New Roman" w:hAnsi="Times New Roman" w:cs="Times New Roman"/>
                <w:sz w:val="24"/>
                <w:lang w:val="zh-CN"/>
              </w:rPr>
              <w:t>本本项目噪声主要来自设备运行时产生的噪声，其产生的噪声声级约为60-90dB（A）。参考《环境噪声与振动控制工程技术导则》（HJ2034-2013）等相关文件以及类比调查分析项目设备噪声源噪声级预测情况见下表所示。</w:t>
            </w:r>
          </w:p>
          <w:p>
            <w:pPr>
              <w:ind w:firstLine="310" w:firstLineChars="147"/>
              <w:jc w:val="center"/>
              <w:rPr>
                <w:b/>
                <w:color w:val="auto"/>
                <w:sz w:val="21"/>
                <w:szCs w:val="21"/>
              </w:rPr>
            </w:pPr>
            <w:r>
              <w:rPr>
                <w:b/>
                <w:color w:val="auto"/>
                <w:sz w:val="21"/>
                <w:szCs w:val="21"/>
              </w:rPr>
              <w:t>表</w:t>
            </w:r>
            <w:r>
              <w:rPr>
                <w:rFonts w:hint="eastAsia"/>
                <w:b/>
                <w:color w:val="auto"/>
                <w:sz w:val="21"/>
                <w:szCs w:val="21"/>
                <w:lang w:val="en-US" w:eastAsia="zh-CN"/>
              </w:rPr>
              <w:t>5-5</w:t>
            </w:r>
            <w:r>
              <w:rPr>
                <w:rFonts w:hint="eastAsia"/>
                <w:b/>
                <w:color w:val="auto"/>
                <w:sz w:val="21"/>
                <w:szCs w:val="21"/>
              </w:rPr>
              <w:t xml:space="preserve"> </w:t>
            </w:r>
            <w:r>
              <w:rPr>
                <w:b/>
                <w:color w:val="auto"/>
                <w:sz w:val="21"/>
                <w:szCs w:val="21"/>
              </w:rPr>
              <w:t xml:space="preserve"> 项目主要噪声源噪声级</w:t>
            </w:r>
          </w:p>
          <w:tbl>
            <w:tblPr>
              <w:tblStyle w:val="15"/>
              <w:tblW w:w="78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
            <w:tblGrid>
              <w:gridCol w:w="1556"/>
              <w:gridCol w:w="2317"/>
              <w:gridCol w:w="3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239" w:hRule="atLeast"/>
                <w:jc w:val="center"/>
              </w:trPr>
              <w:tc>
                <w:tcPr>
                  <w:tcW w:w="1556"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b/>
                      <w:color w:val="auto"/>
                      <w:kern w:val="2"/>
                      <w:sz w:val="21"/>
                      <w:szCs w:val="21"/>
                    </w:rPr>
                  </w:pPr>
                  <w:r>
                    <w:rPr>
                      <w:rFonts w:ascii="Times New Roman" w:hAnsi="Times New Roman"/>
                      <w:b/>
                      <w:color w:val="auto"/>
                      <w:kern w:val="2"/>
                      <w:sz w:val="21"/>
                      <w:szCs w:val="21"/>
                    </w:rPr>
                    <w:t>序号</w:t>
                  </w:r>
                </w:p>
              </w:tc>
              <w:tc>
                <w:tcPr>
                  <w:tcW w:w="2317"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b/>
                      <w:color w:val="auto"/>
                      <w:kern w:val="2"/>
                      <w:sz w:val="21"/>
                      <w:szCs w:val="21"/>
                    </w:rPr>
                  </w:pPr>
                  <w:r>
                    <w:rPr>
                      <w:rFonts w:ascii="Times New Roman" w:hAnsi="Times New Roman"/>
                      <w:b/>
                      <w:color w:val="auto"/>
                      <w:kern w:val="2"/>
                      <w:sz w:val="21"/>
                      <w:szCs w:val="21"/>
                    </w:rPr>
                    <w:t>设备名称</w:t>
                  </w:r>
                </w:p>
              </w:tc>
              <w:tc>
                <w:tcPr>
                  <w:tcW w:w="3967"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b/>
                      <w:color w:val="auto"/>
                      <w:kern w:val="2"/>
                      <w:sz w:val="21"/>
                      <w:szCs w:val="21"/>
                    </w:rPr>
                  </w:pPr>
                  <w:r>
                    <w:rPr>
                      <w:rFonts w:ascii="Times New Roman" w:hAnsi="Times New Roman"/>
                      <w:b/>
                      <w:color w:val="auto"/>
                      <w:kern w:val="2"/>
                      <w:sz w:val="21"/>
                      <w:szCs w:val="21"/>
                    </w:rPr>
                    <w:t>单台设备外1米处声级值dB(A)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239" w:hRule="atLeast"/>
                <w:jc w:val="center"/>
              </w:trPr>
              <w:tc>
                <w:tcPr>
                  <w:tcW w:w="1556"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color w:val="auto"/>
                      <w:kern w:val="2"/>
                      <w:sz w:val="21"/>
                      <w:szCs w:val="21"/>
                    </w:rPr>
                  </w:pPr>
                  <w:r>
                    <w:rPr>
                      <w:rFonts w:ascii="Times New Roman" w:hAnsi="Times New Roman"/>
                      <w:color w:val="auto"/>
                      <w:kern w:val="2"/>
                      <w:sz w:val="21"/>
                      <w:szCs w:val="21"/>
                    </w:rPr>
                    <w:t>1</w:t>
                  </w:r>
                </w:p>
              </w:tc>
              <w:tc>
                <w:tcPr>
                  <w:tcW w:w="2317" w:type="dxa"/>
                  <w:noWrap w:val="0"/>
                  <w:tcMar>
                    <w:left w:w="57" w:type="dxa"/>
                    <w:right w:w="57" w:type="dxa"/>
                  </w:tcMar>
                  <w:vAlign w:val="center"/>
                </w:tcPr>
                <w:p>
                  <w:pPr>
                    <w:adjustRightInd w:val="0"/>
                    <w:spacing w:line="240" w:lineRule="auto"/>
                    <w:jc w:val="center"/>
                    <w:rPr>
                      <w:rFonts w:hint="eastAsia"/>
                      <w:color w:val="auto"/>
                      <w:kern w:val="0"/>
                      <w:sz w:val="21"/>
                      <w:szCs w:val="21"/>
                    </w:rPr>
                  </w:pPr>
                  <w:r>
                    <w:rPr>
                      <w:rFonts w:hint="eastAsia"/>
                      <w:color w:val="auto"/>
                      <w:kern w:val="0"/>
                      <w:sz w:val="21"/>
                      <w:szCs w:val="21"/>
                    </w:rPr>
                    <w:t>窑炉固化线</w:t>
                  </w:r>
                </w:p>
              </w:tc>
              <w:tc>
                <w:tcPr>
                  <w:tcW w:w="3967"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color w:val="auto"/>
                      <w:kern w:val="2"/>
                      <w:sz w:val="21"/>
                      <w:szCs w:val="21"/>
                    </w:rPr>
                  </w:pPr>
                  <w:r>
                    <w:rPr>
                      <w:rFonts w:ascii="Times New Roman" w:hAnsi="Times New Roman"/>
                      <w:color w:val="auto"/>
                      <w:kern w:val="2"/>
                      <w:sz w:val="21"/>
                      <w:szCs w:val="21"/>
                    </w:rPr>
                    <w:t>60-70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226" w:hRule="atLeast"/>
                <w:jc w:val="center"/>
              </w:trPr>
              <w:tc>
                <w:tcPr>
                  <w:tcW w:w="1556"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color w:val="auto"/>
                      <w:kern w:val="2"/>
                      <w:sz w:val="21"/>
                      <w:szCs w:val="21"/>
                    </w:rPr>
                  </w:pPr>
                  <w:r>
                    <w:rPr>
                      <w:rFonts w:ascii="Times New Roman" w:hAnsi="Times New Roman"/>
                      <w:color w:val="auto"/>
                      <w:kern w:val="2"/>
                      <w:sz w:val="21"/>
                      <w:szCs w:val="21"/>
                    </w:rPr>
                    <w:t>2</w:t>
                  </w:r>
                </w:p>
              </w:tc>
              <w:tc>
                <w:tcPr>
                  <w:tcW w:w="2317" w:type="dxa"/>
                  <w:noWrap w:val="0"/>
                  <w:tcMar>
                    <w:left w:w="57" w:type="dxa"/>
                    <w:right w:w="57" w:type="dxa"/>
                  </w:tcMar>
                  <w:vAlign w:val="center"/>
                </w:tcPr>
                <w:p>
                  <w:pPr>
                    <w:adjustRightInd w:val="0"/>
                    <w:spacing w:line="240" w:lineRule="auto"/>
                    <w:jc w:val="center"/>
                    <w:rPr>
                      <w:color w:val="auto"/>
                      <w:kern w:val="0"/>
                      <w:sz w:val="21"/>
                      <w:szCs w:val="21"/>
                    </w:rPr>
                  </w:pPr>
                  <w:r>
                    <w:rPr>
                      <w:color w:val="auto"/>
                      <w:kern w:val="0"/>
                      <w:sz w:val="21"/>
                      <w:szCs w:val="21"/>
                    </w:rPr>
                    <w:t>喷枪</w:t>
                  </w:r>
                </w:p>
              </w:tc>
              <w:tc>
                <w:tcPr>
                  <w:tcW w:w="3967"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color w:val="auto"/>
                      <w:kern w:val="2"/>
                      <w:sz w:val="21"/>
                      <w:szCs w:val="21"/>
                    </w:rPr>
                  </w:pPr>
                  <w:r>
                    <w:rPr>
                      <w:rFonts w:hint="eastAsia" w:ascii="Times New Roman" w:hAnsi="Times New Roman"/>
                      <w:color w:val="auto"/>
                      <w:kern w:val="2"/>
                      <w:sz w:val="21"/>
                      <w:szCs w:val="21"/>
                    </w:rPr>
                    <w:t>60-</w:t>
                  </w:r>
                  <w:r>
                    <w:rPr>
                      <w:rFonts w:ascii="Times New Roman" w:hAnsi="Times New Roman"/>
                      <w:color w:val="auto"/>
                      <w:kern w:val="2"/>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226" w:hRule="atLeast"/>
                <w:jc w:val="center"/>
              </w:trPr>
              <w:tc>
                <w:tcPr>
                  <w:tcW w:w="1556"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color w:val="auto"/>
                      <w:kern w:val="2"/>
                      <w:sz w:val="21"/>
                      <w:szCs w:val="21"/>
                    </w:rPr>
                  </w:pPr>
                  <w:r>
                    <w:rPr>
                      <w:rFonts w:ascii="Times New Roman" w:hAnsi="Times New Roman"/>
                      <w:color w:val="auto"/>
                      <w:kern w:val="2"/>
                      <w:sz w:val="21"/>
                      <w:szCs w:val="21"/>
                    </w:rPr>
                    <w:t>3</w:t>
                  </w:r>
                </w:p>
              </w:tc>
              <w:tc>
                <w:tcPr>
                  <w:tcW w:w="2317" w:type="dxa"/>
                  <w:noWrap w:val="0"/>
                  <w:tcMar>
                    <w:left w:w="57" w:type="dxa"/>
                    <w:right w:w="57" w:type="dxa"/>
                  </w:tcMar>
                  <w:vAlign w:val="center"/>
                </w:tcPr>
                <w:p>
                  <w:pPr>
                    <w:adjustRightInd w:val="0"/>
                    <w:spacing w:line="240" w:lineRule="auto"/>
                    <w:jc w:val="center"/>
                    <w:rPr>
                      <w:color w:val="auto"/>
                      <w:kern w:val="0"/>
                      <w:sz w:val="21"/>
                      <w:szCs w:val="21"/>
                    </w:rPr>
                  </w:pPr>
                  <w:r>
                    <w:rPr>
                      <w:color w:val="auto"/>
                      <w:kern w:val="0"/>
                      <w:sz w:val="21"/>
                      <w:szCs w:val="21"/>
                    </w:rPr>
                    <w:t>箱式热风炉</w:t>
                  </w:r>
                </w:p>
              </w:tc>
              <w:tc>
                <w:tcPr>
                  <w:tcW w:w="3967"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color w:val="auto"/>
                      <w:kern w:val="2"/>
                      <w:sz w:val="21"/>
                      <w:szCs w:val="21"/>
                    </w:rPr>
                  </w:pPr>
                  <w:r>
                    <w:rPr>
                      <w:rFonts w:hint="eastAsia" w:ascii="Times New Roman" w:hAnsi="Times New Roman"/>
                      <w:color w:val="auto"/>
                      <w:kern w:val="2"/>
                      <w:sz w:val="21"/>
                      <w:szCs w:val="21"/>
                    </w:rPr>
                    <w:t>60-</w:t>
                  </w:r>
                  <w:r>
                    <w:rPr>
                      <w:rFonts w:ascii="Times New Roman" w:hAnsi="Times New Roman"/>
                      <w:color w:val="auto"/>
                      <w:kern w:val="2"/>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233" w:hRule="atLeast"/>
                <w:jc w:val="center"/>
              </w:trPr>
              <w:tc>
                <w:tcPr>
                  <w:tcW w:w="1556" w:type="dxa"/>
                  <w:noWrap w:val="0"/>
                  <w:tcMar>
                    <w:left w:w="57" w:type="dxa"/>
                    <w:right w:w="57" w:type="dxa"/>
                  </w:tcMar>
                  <w:vAlign w:val="center"/>
                </w:tcPr>
                <w:p>
                  <w:pPr>
                    <w:pStyle w:val="46"/>
                    <w:autoSpaceDE/>
                    <w:autoSpaceDN/>
                    <w:adjustRightInd/>
                    <w:spacing w:line="240" w:lineRule="auto"/>
                    <w:textAlignment w:val="auto"/>
                    <w:rPr>
                      <w:rFonts w:hint="eastAsia" w:ascii="Times New Roman" w:hAnsi="Times New Roman" w:eastAsia="宋体"/>
                      <w:color w:val="auto"/>
                      <w:kern w:val="2"/>
                      <w:sz w:val="21"/>
                      <w:szCs w:val="21"/>
                      <w:lang w:eastAsia="zh-CN"/>
                    </w:rPr>
                  </w:pPr>
                  <w:r>
                    <w:rPr>
                      <w:rFonts w:hint="eastAsia" w:ascii="Times New Roman" w:hAnsi="Times New Roman"/>
                      <w:color w:val="auto"/>
                      <w:kern w:val="2"/>
                      <w:sz w:val="21"/>
                      <w:szCs w:val="21"/>
                      <w:lang w:val="en-US" w:eastAsia="zh-CN"/>
                    </w:rPr>
                    <w:t>4</w:t>
                  </w:r>
                </w:p>
              </w:tc>
              <w:tc>
                <w:tcPr>
                  <w:tcW w:w="2317" w:type="dxa"/>
                  <w:noWrap w:val="0"/>
                  <w:tcMar>
                    <w:left w:w="57" w:type="dxa"/>
                    <w:right w:w="57" w:type="dxa"/>
                  </w:tcMar>
                  <w:vAlign w:val="center"/>
                </w:tcPr>
                <w:p>
                  <w:pPr>
                    <w:adjustRightInd w:val="0"/>
                    <w:spacing w:line="240" w:lineRule="auto"/>
                    <w:jc w:val="center"/>
                    <w:rPr>
                      <w:color w:val="auto"/>
                      <w:kern w:val="0"/>
                      <w:sz w:val="21"/>
                      <w:szCs w:val="21"/>
                    </w:rPr>
                  </w:pPr>
                  <w:r>
                    <w:rPr>
                      <w:color w:val="auto"/>
                      <w:kern w:val="0"/>
                      <w:sz w:val="21"/>
                      <w:szCs w:val="21"/>
                    </w:rPr>
                    <w:t>空压机</w:t>
                  </w:r>
                </w:p>
              </w:tc>
              <w:tc>
                <w:tcPr>
                  <w:tcW w:w="3967" w:type="dxa"/>
                  <w:noWrap w:val="0"/>
                  <w:tcMar>
                    <w:left w:w="57" w:type="dxa"/>
                    <w:right w:w="57" w:type="dxa"/>
                  </w:tcMar>
                  <w:vAlign w:val="center"/>
                </w:tcPr>
                <w:p>
                  <w:pPr>
                    <w:pStyle w:val="46"/>
                    <w:autoSpaceDE/>
                    <w:autoSpaceDN/>
                    <w:adjustRightInd/>
                    <w:spacing w:line="240" w:lineRule="auto"/>
                    <w:textAlignment w:val="auto"/>
                    <w:rPr>
                      <w:rFonts w:ascii="Times New Roman" w:hAnsi="Times New Roman"/>
                      <w:color w:val="auto"/>
                      <w:kern w:val="2"/>
                      <w:sz w:val="21"/>
                      <w:szCs w:val="21"/>
                    </w:rPr>
                  </w:pPr>
                  <w:r>
                    <w:rPr>
                      <w:rFonts w:hint="eastAsia" w:ascii="Times New Roman" w:hAnsi="Times New Roman"/>
                      <w:color w:val="auto"/>
                      <w:kern w:val="2"/>
                      <w:sz w:val="21"/>
                      <w:szCs w:val="21"/>
                    </w:rPr>
                    <w:t>80-</w:t>
                  </w:r>
                  <w:r>
                    <w:rPr>
                      <w:rFonts w:ascii="Times New Roman" w:hAnsi="Times New Roman"/>
                      <w:color w:val="auto"/>
                      <w:kern w:val="2"/>
                      <w:sz w:val="21"/>
                      <w:szCs w:val="21"/>
                    </w:rPr>
                    <w:t>90</w:t>
                  </w:r>
                </w:p>
              </w:tc>
            </w:tr>
          </w:tbl>
          <w:p>
            <w:pPr>
              <w:adjustRightInd w:val="0"/>
              <w:spacing w:line="360" w:lineRule="auto"/>
              <w:ind w:firstLine="482" w:firstLineChars="200"/>
              <w:rPr>
                <w:b/>
                <w:sz w:val="24"/>
              </w:rPr>
            </w:pPr>
            <w:r>
              <w:rPr>
                <w:rFonts w:hint="eastAsia"/>
                <w:b/>
                <w:sz w:val="24"/>
              </w:rPr>
              <w:t>（</w:t>
            </w:r>
            <w:r>
              <w:rPr>
                <w:b/>
                <w:sz w:val="24"/>
              </w:rPr>
              <w:t>4</w:t>
            </w:r>
            <w:r>
              <w:rPr>
                <w:rFonts w:hint="eastAsia"/>
                <w:b/>
                <w:sz w:val="24"/>
              </w:rPr>
              <w:t>）固体废物</w:t>
            </w:r>
          </w:p>
          <w:p>
            <w:pPr>
              <w:tabs>
                <w:tab w:val="left" w:pos="0"/>
              </w:tabs>
              <w:snapToGrid w:val="0"/>
              <w:spacing w:line="360" w:lineRule="auto"/>
              <w:ind w:firstLine="480" w:firstLineChars="200"/>
              <w:rPr>
                <w:sz w:val="24"/>
                <w:lang w:val="zh-CN"/>
              </w:rPr>
            </w:pPr>
            <w:r>
              <w:rPr>
                <w:rFonts w:hint="eastAsia"/>
                <w:sz w:val="24"/>
                <w:lang w:val="zh-CN"/>
              </w:rPr>
              <w:t>项目产生的固体废物主要有</w:t>
            </w:r>
            <w:r>
              <w:rPr>
                <w:kern w:val="24"/>
                <w:sz w:val="24"/>
              </w:rPr>
              <w:t>员工生活垃圾、包装废物、原料空桶、废UV灯管以及废活性炭。</w:t>
            </w:r>
          </w:p>
          <w:p>
            <w:pPr>
              <w:autoSpaceDE w:val="0"/>
              <w:autoSpaceDN w:val="0"/>
              <w:adjustRightInd w:val="0"/>
              <w:snapToGrid w:val="0"/>
              <w:spacing w:line="360" w:lineRule="auto"/>
              <w:ind w:firstLine="482" w:firstLineChars="200"/>
              <w:textAlignment w:val="baseline"/>
              <w:rPr>
                <w:b/>
                <w:bCs/>
                <w:kern w:val="24"/>
                <w:sz w:val="24"/>
              </w:rPr>
            </w:pPr>
            <w:r>
              <w:rPr>
                <w:rFonts w:hint="eastAsia"/>
                <w:b/>
                <w:bCs/>
                <w:kern w:val="24"/>
                <w:sz w:val="24"/>
              </w:rPr>
              <w:t>①</w:t>
            </w:r>
            <w:r>
              <w:rPr>
                <w:b/>
                <w:bCs/>
                <w:kern w:val="24"/>
                <w:sz w:val="24"/>
              </w:rPr>
              <w:t>生活垃圾</w:t>
            </w:r>
          </w:p>
          <w:p>
            <w:pPr>
              <w:autoSpaceDE w:val="0"/>
              <w:autoSpaceDN w:val="0"/>
              <w:adjustRightInd w:val="0"/>
              <w:snapToGrid w:val="0"/>
              <w:spacing w:line="360" w:lineRule="auto"/>
              <w:ind w:firstLine="480" w:firstLineChars="200"/>
              <w:textAlignment w:val="baseline"/>
              <w:rPr>
                <w:kern w:val="24"/>
                <w:sz w:val="24"/>
              </w:rPr>
            </w:pPr>
            <w:r>
              <w:rPr>
                <w:kern w:val="24"/>
                <w:sz w:val="24"/>
              </w:rPr>
              <w:t>本项目共有员工2</w:t>
            </w:r>
            <w:r>
              <w:rPr>
                <w:rFonts w:hint="eastAsia"/>
                <w:kern w:val="24"/>
                <w:sz w:val="24"/>
              </w:rPr>
              <w:t>5</w:t>
            </w:r>
            <w:r>
              <w:rPr>
                <w:kern w:val="24"/>
                <w:sz w:val="24"/>
              </w:rPr>
              <w:t>人，按照每人每天产生垃圾0.5kg，年生产300天，则生活垃圾的产生量为3.</w:t>
            </w:r>
            <w:r>
              <w:rPr>
                <w:rFonts w:hint="eastAsia"/>
                <w:kern w:val="24"/>
                <w:sz w:val="24"/>
              </w:rPr>
              <w:t>75</w:t>
            </w:r>
            <w:r>
              <w:rPr>
                <w:kern w:val="24"/>
                <w:sz w:val="24"/>
              </w:rPr>
              <w:t>t/a，收集后交环卫部门处理。</w:t>
            </w:r>
          </w:p>
          <w:p>
            <w:pPr>
              <w:autoSpaceDE w:val="0"/>
              <w:autoSpaceDN w:val="0"/>
              <w:adjustRightInd w:val="0"/>
              <w:snapToGrid w:val="0"/>
              <w:spacing w:line="360" w:lineRule="auto"/>
              <w:ind w:firstLine="482" w:firstLineChars="200"/>
              <w:textAlignment w:val="baseline"/>
              <w:rPr>
                <w:b/>
                <w:bCs/>
                <w:kern w:val="24"/>
                <w:sz w:val="24"/>
              </w:rPr>
            </w:pPr>
            <w:r>
              <w:rPr>
                <w:rFonts w:hint="eastAsia"/>
                <w:b/>
                <w:bCs/>
                <w:kern w:val="24"/>
                <w:sz w:val="24"/>
              </w:rPr>
              <w:t>②</w:t>
            </w:r>
            <w:r>
              <w:rPr>
                <w:b/>
                <w:bCs/>
                <w:kern w:val="24"/>
                <w:sz w:val="24"/>
              </w:rPr>
              <w:t>包装废物</w:t>
            </w:r>
          </w:p>
          <w:p>
            <w:pPr>
              <w:autoSpaceDE w:val="0"/>
              <w:autoSpaceDN w:val="0"/>
              <w:adjustRightInd w:val="0"/>
              <w:snapToGrid w:val="0"/>
              <w:spacing w:line="360" w:lineRule="auto"/>
              <w:ind w:firstLine="480" w:firstLineChars="200"/>
              <w:textAlignment w:val="baseline"/>
              <w:rPr>
                <w:kern w:val="24"/>
                <w:sz w:val="24"/>
              </w:rPr>
            </w:pPr>
            <w:r>
              <w:rPr>
                <w:kern w:val="24"/>
                <w:sz w:val="24"/>
              </w:rPr>
              <w:t>根据建设单位提供资料，项目成品在包装过程中会产生一些包装的废物，主要以废纸为主，产生量约为</w:t>
            </w:r>
            <w:r>
              <w:rPr>
                <w:rFonts w:hint="eastAsia"/>
                <w:kern w:val="24"/>
                <w:sz w:val="24"/>
              </w:rPr>
              <w:t>2</w:t>
            </w:r>
            <w:r>
              <w:rPr>
                <w:kern w:val="24"/>
                <w:sz w:val="24"/>
              </w:rPr>
              <w:t>.0t/a，包装废物由厂区集中收集后外卖回收公司处理。</w:t>
            </w:r>
          </w:p>
          <w:p>
            <w:pPr>
              <w:autoSpaceDE w:val="0"/>
              <w:autoSpaceDN w:val="0"/>
              <w:adjustRightInd w:val="0"/>
              <w:snapToGrid w:val="0"/>
              <w:spacing w:line="360" w:lineRule="auto"/>
              <w:ind w:firstLine="482" w:firstLineChars="200"/>
              <w:textAlignment w:val="baseline"/>
              <w:rPr>
                <w:b/>
                <w:bCs/>
                <w:kern w:val="24"/>
                <w:sz w:val="24"/>
              </w:rPr>
            </w:pPr>
            <w:r>
              <w:rPr>
                <w:rFonts w:hint="eastAsia"/>
                <w:b/>
                <w:bCs/>
                <w:kern w:val="24"/>
                <w:sz w:val="24"/>
              </w:rPr>
              <w:t>③</w:t>
            </w:r>
            <w:r>
              <w:rPr>
                <w:b/>
                <w:bCs/>
                <w:kern w:val="24"/>
                <w:sz w:val="24"/>
              </w:rPr>
              <w:t>原料空桶</w:t>
            </w:r>
          </w:p>
          <w:p>
            <w:pPr>
              <w:autoSpaceDE w:val="0"/>
              <w:autoSpaceDN w:val="0"/>
              <w:adjustRightInd w:val="0"/>
              <w:snapToGrid w:val="0"/>
              <w:spacing w:line="360" w:lineRule="auto"/>
              <w:ind w:firstLine="480" w:firstLineChars="200"/>
              <w:textAlignment w:val="baseline"/>
              <w:rPr>
                <w:b/>
                <w:bCs/>
                <w:kern w:val="24"/>
                <w:sz w:val="24"/>
              </w:rPr>
            </w:pPr>
            <w:r>
              <w:rPr>
                <w:kern w:val="24"/>
                <w:sz w:val="24"/>
              </w:rPr>
              <w:t>根据建设单位提供资料，项目</w:t>
            </w:r>
            <w:r>
              <w:rPr>
                <w:rFonts w:hint="eastAsia"/>
                <w:kern w:val="24"/>
                <w:sz w:val="24"/>
              </w:rPr>
              <w:t>粉末涂料</w:t>
            </w:r>
            <w:r>
              <w:rPr>
                <w:kern w:val="24"/>
                <w:sz w:val="24"/>
              </w:rPr>
              <w:t>使用量约为</w:t>
            </w:r>
            <w:r>
              <w:rPr>
                <w:rFonts w:hint="eastAsia"/>
                <w:kern w:val="24"/>
                <w:sz w:val="24"/>
                <w:lang w:val="en-US" w:eastAsia="zh-CN"/>
              </w:rPr>
              <w:t>2</w:t>
            </w:r>
            <w:r>
              <w:rPr>
                <w:kern w:val="24"/>
                <w:sz w:val="24"/>
              </w:rPr>
              <w:t>0t/a，原料空桶占原料总重量的3%，则原料空桶的产生量为</w:t>
            </w:r>
            <w:r>
              <w:rPr>
                <w:rFonts w:hint="eastAsia"/>
                <w:kern w:val="24"/>
                <w:sz w:val="24"/>
                <w:lang w:val="en-US" w:eastAsia="zh-CN"/>
              </w:rPr>
              <w:t>0.6</w:t>
            </w:r>
            <w:r>
              <w:rPr>
                <w:kern w:val="24"/>
                <w:sz w:val="24"/>
              </w:rPr>
              <w:t>t/a。原料空桶经收集后交由厂家回收再利用；根据《固体废物鉴别标准 通则》(GB 34330—2017)》“6.1 不作为固体废物管理中--a)任何不需要修改和加工即可用于其原始用途的物质，或者在产生点经过修复和加工后满足国家、地方制定或行业通用的产品质量标准并且用于其原始用途的物质”，项目原料空桶由原厂家回收再利用满足国家、地方制定或行业通用的产品质量标准并且用于其原始用途。</w:t>
            </w:r>
          </w:p>
          <w:p>
            <w:pPr>
              <w:autoSpaceDE w:val="0"/>
              <w:autoSpaceDN w:val="0"/>
              <w:adjustRightInd w:val="0"/>
              <w:snapToGrid w:val="0"/>
              <w:spacing w:line="360" w:lineRule="auto"/>
              <w:ind w:firstLine="482" w:firstLineChars="200"/>
              <w:textAlignment w:val="baseline"/>
              <w:rPr>
                <w:b/>
                <w:bCs/>
                <w:kern w:val="24"/>
                <w:sz w:val="24"/>
              </w:rPr>
            </w:pPr>
            <w:r>
              <w:rPr>
                <w:rFonts w:hint="eastAsia"/>
                <w:b/>
                <w:bCs/>
                <w:kern w:val="24"/>
                <w:sz w:val="24"/>
              </w:rPr>
              <w:t>④</w:t>
            </w:r>
            <w:r>
              <w:rPr>
                <w:b/>
                <w:bCs/>
                <w:kern w:val="24"/>
                <w:sz w:val="24"/>
              </w:rPr>
              <w:t>废 UV 灯管</w:t>
            </w:r>
          </w:p>
          <w:p>
            <w:pPr>
              <w:autoSpaceDE w:val="0"/>
              <w:autoSpaceDN w:val="0"/>
              <w:adjustRightInd w:val="0"/>
              <w:snapToGrid w:val="0"/>
              <w:spacing w:line="360" w:lineRule="auto"/>
              <w:ind w:firstLine="480" w:firstLineChars="200"/>
              <w:textAlignment w:val="baseline"/>
              <w:rPr>
                <w:kern w:val="24"/>
                <w:sz w:val="24"/>
              </w:rPr>
            </w:pPr>
            <w:r>
              <w:rPr>
                <w:rFonts w:hint="eastAsia"/>
                <w:kern w:val="24"/>
                <w:sz w:val="24"/>
              </w:rPr>
              <w:t>项目UV 光解净化器中UV 灯管为紫外含汞灯管，UV 灯管使用一段时间达不到设定要求时需更换，会产生一定量的废UV 灯管。UV 灯管的连续使用时间不应超过4800h，结合UV 灯管的工作环境及平均使用寿命，项目废UV灯管的产生量预计为0.01t/a。废UV灯管的主要成分为玻璃和汞，属于《国家危险废物名录》中废物类别为HW29的危险废物，废物代码为“900-023-29 生产、销售及使用过程中产生的废含汞荧光灯管及其他废含汞电光源”，收集后定期交由有危险废物处理资质的单位处置。</w:t>
            </w:r>
          </w:p>
          <w:p>
            <w:pPr>
              <w:autoSpaceDE w:val="0"/>
              <w:autoSpaceDN w:val="0"/>
              <w:adjustRightInd w:val="0"/>
              <w:snapToGrid w:val="0"/>
              <w:spacing w:line="360" w:lineRule="auto"/>
              <w:ind w:firstLine="482" w:firstLineChars="200"/>
              <w:textAlignment w:val="baseline"/>
              <w:rPr>
                <w:b/>
                <w:bCs/>
                <w:kern w:val="24"/>
                <w:sz w:val="24"/>
              </w:rPr>
            </w:pPr>
            <w:r>
              <w:rPr>
                <w:rFonts w:hint="eastAsia"/>
                <w:b/>
                <w:bCs/>
                <w:kern w:val="24"/>
                <w:sz w:val="24"/>
              </w:rPr>
              <w:t>⑤</w:t>
            </w:r>
            <w:r>
              <w:rPr>
                <w:b/>
                <w:bCs/>
                <w:kern w:val="24"/>
                <w:sz w:val="24"/>
              </w:rPr>
              <w:t>废活性炭</w:t>
            </w:r>
          </w:p>
          <w:p>
            <w:pPr>
              <w:autoSpaceDE w:val="0"/>
              <w:autoSpaceDN w:val="0"/>
              <w:adjustRightInd w:val="0"/>
              <w:snapToGrid w:val="0"/>
              <w:spacing w:line="360" w:lineRule="auto"/>
              <w:ind w:firstLine="480" w:firstLineChars="200"/>
              <w:textAlignment w:val="baseline"/>
              <w:rPr>
                <w:color w:val="FF0000"/>
                <w:kern w:val="24"/>
                <w:sz w:val="24"/>
              </w:rPr>
            </w:pPr>
            <w:r>
              <w:rPr>
                <w:rFonts w:hint="eastAsia"/>
                <w:color w:val="FF0000"/>
                <w:kern w:val="24"/>
                <w:sz w:val="24"/>
              </w:rPr>
              <w:t>本项目使用活性炭吸附处理有机废气，活性炭吸附废气达到饱和后需要更换。根据工程分析，活性炭吸附有机废气的量为0.</w:t>
            </w:r>
            <w:r>
              <w:rPr>
                <w:rFonts w:hint="eastAsia"/>
                <w:color w:val="FF0000"/>
                <w:kern w:val="24"/>
                <w:sz w:val="24"/>
                <w:lang w:val="en-US" w:eastAsia="zh-CN"/>
              </w:rPr>
              <w:t>108</w:t>
            </w:r>
            <w:r>
              <w:rPr>
                <w:rFonts w:hint="eastAsia"/>
                <w:color w:val="FF0000"/>
                <w:kern w:val="24"/>
                <w:sz w:val="24"/>
              </w:rPr>
              <w:t>*50%*80%=0.0</w:t>
            </w:r>
            <w:r>
              <w:rPr>
                <w:rFonts w:hint="eastAsia"/>
                <w:color w:val="FF0000"/>
                <w:kern w:val="24"/>
                <w:sz w:val="24"/>
                <w:lang w:val="en-US" w:eastAsia="zh-CN"/>
              </w:rPr>
              <w:t>432</w:t>
            </w:r>
            <w:r>
              <w:rPr>
                <w:rFonts w:hint="eastAsia"/>
                <w:color w:val="FF0000"/>
                <w:kern w:val="24"/>
                <w:sz w:val="24"/>
              </w:rPr>
              <w:t>t。根据广东工业大学工程研究，活性炭吸附效率为250g/kg活性炭，则需活性炭量为0.0</w:t>
            </w:r>
            <w:r>
              <w:rPr>
                <w:rFonts w:hint="eastAsia"/>
                <w:color w:val="FF0000"/>
                <w:kern w:val="24"/>
                <w:sz w:val="24"/>
                <w:lang w:val="en-US" w:eastAsia="zh-CN"/>
              </w:rPr>
              <w:t>432</w:t>
            </w:r>
            <w:r>
              <w:rPr>
                <w:rFonts w:hint="eastAsia"/>
                <w:color w:val="FF0000"/>
                <w:kern w:val="24"/>
                <w:sz w:val="24"/>
              </w:rPr>
              <w:t>÷0.25=0.</w:t>
            </w:r>
            <w:r>
              <w:rPr>
                <w:rFonts w:hint="eastAsia"/>
                <w:color w:val="FF0000"/>
                <w:kern w:val="24"/>
                <w:sz w:val="24"/>
                <w:lang w:val="en-US" w:eastAsia="zh-CN"/>
              </w:rPr>
              <w:t>1728</w:t>
            </w:r>
            <w:r>
              <w:rPr>
                <w:rFonts w:hint="eastAsia"/>
                <w:color w:val="FF0000"/>
                <w:kern w:val="24"/>
                <w:sz w:val="24"/>
              </w:rPr>
              <w:t>t/a（活性炭一次填充量为</w:t>
            </w:r>
            <w:r>
              <w:rPr>
                <w:rFonts w:hint="eastAsia"/>
                <w:color w:val="FF0000"/>
                <w:kern w:val="24"/>
                <w:sz w:val="24"/>
                <w:lang w:val="en-US" w:eastAsia="zh-CN"/>
              </w:rPr>
              <w:t>5</w:t>
            </w:r>
            <w:r>
              <w:rPr>
                <w:rFonts w:hint="eastAsia"/>
                <w:color w:val="FF0000"/>
                <w:kern w:val="24"/>
                <w:sz w:val="24"/>
              </w:rPr>
              <w:t>0kg，采用双层设计，单层活性炭量为</w:t>
            </w:r>
            <w:r>
              <w:rPr>
                <w:rFonts w:hint="eastAsia"/>
                <w:color w:val="FF0000"/>
                <w:kern w:val="24"/>
                <w:sz w:val="24"/>
                <w:lang w:val="en-US" w:eastAsia="zh-CN"/>
              </w:rPr>
              <w:t>25</w:t>
            </w:r>
            <w:r>
              <w:rPr>
                <w:rFonts w:hint="eastAsia"/>
                <w:color w:val="FF0000"/>
                <w:kern w:val="24"/>
                <w:sz w:val="24"/>
              </w:rPr>
              <w:t>kg，每3个月更换一次</w:t>
            </w:r>
            <w:r>
              <w:rPr>
                <w:rFonts w:hint="eastAsia"/>
                <w:color w:val="FF0000"/>
                <w:kern w:val="24"/>
                <w:sz w:val="24"/>
                <w:lang w:eastAsia="zh-CN"/>
              </w:rPr>
              <w:t>，</w:t>
            </w:r>
            <w:r>
              <w:rPr>
                <w:rFonts w:hint="eastAsia"/>
                <w:color w:val="FF0000"/>
                <w:kern w:val="24"/>
                <w:sz w:val="24"/>
                <w:lang w:val="en-US" w:eastAsia="zh-CN"/>
              </w:rPr>
              <w:t>活性炭箱尺寸1350mm×1650mm×1650mm</w:t>
            </w:r>
            <w:r>
              <w:rPr>
                <w:rFonts w:hint="eastAsia"/>
                <w:color w:val="FF0000"/>
                <w:kern w:val="24"/>
                <w:sz w:val="24"/>
              </w:rPr>
              <w:t>），则废活性炭产生量为</w:t>
            </w:r>
            <w:r>
              <w:rPr>
                <w:rFonts w:hint="eastAsia"/>
                <w:color w:val="FF0000"/>
                <w:kern w:val="24"/>
                <w:sz w:val="24"/>
                <w:lang w:val="en-US" w:eastAsia="zh-CN"/>
              </w:rPr>
              <w:t>5</w:t>
            </w:r>
            <w:r>
              <w:rPr>
                <w:rFonts w:hint="eastAsia"/>
                <w:color w:val="FF0000"/>
                <w:kern w:val="24"/>
                <w:sz w:val="24"/>
              </w:rPr>
              <w:t>0×4÷1000+0.0</w:t>
            </w:r>
            <w:r>
              <w:rPr>
                <w:rFonts w:hint="eastAsia"/>
                <w:color w:val="FF0000"/>
                <w:kern w:val="24"/>
                <w:sz w:val="24"/>
                <w:lang w:val="en-US" w:eastAsia="zh-CN"/>
              </w:rPr>
              <w:t>432≈</w:t>
            </w:r>
            <w:r>
              <w:rPr>
                <w:rFonts w:hint="eastAsia"/>
                <w:color w:val="FF0000"/>
                <w:kern w:val="24"/>
                <w:sz w:val="24"/>
              </w:rPr>
              <w:t>0.</w:t>
            </w:r>
            <w:r>
              <w:rPr>
                <w:rFonts w:hint="eastAsia"/>
                <w:color w:val="FF0000"/>
                <w:kern w:val="24"/>
                <w:sz w:val="24"/>
                <w:lang w:val="en-US" w:eastAsia="zh-CN"/>
              </w:rPr>
              <w:t>24</w:t>
            </w:r>
            <w:r>
              <w:rPr>
                <w:rFonts w:hint="eastAsia"/>
                <w:color w:val="FF0000"/>
                <w:kern w:val="24"/>
                <w:sz w:val="24"/>
              </w:rPr>
              <w:t>t。根据《国家危险废物名录》（2016年），废活性炭属于HW49类废物，由建设单位定期收集后交由有资质的单位处理</w:t>
            </w:r>
            <w:r>
              <w:rPr>
                <w:color w:val="FF0000"/>
                <w:kern w:val="24"/>
                <w:sz w:val="24"/>
              </w:rPr>
              <w:t>。</w:t>
            </w:r>
          </w:p>
          <w:p>
            <w:pPr>
              <w:spacing w:line="360" w:lineRule="auto"/>
              <w:ind w:firstLine="480" w:firstLineChars="200"/>
              <w:rPr>
                <w:bCs/>
                <w:color w:val="FF0000"/>
                <w:sz w:val="24"/>
              </w:rPr>
            </w:pPr>
            <w:r>
              <w:rPr>
                <w:bCs/>
                <w:color w:val="FF0000"/>
                <w:sz w:val="24"/>
              </w:rPr>
              <w:t>危险废物产生情况见</w:t>
            </w:r>
            <w:r>
              <w:rPr>
                <w:rFonts w:hint="eastAsia"/>
                <w:bCs/>
                <w:color w:val="FF0000"/>
                <w:sz w:val="24"/>
              </w:rPr>
              <w:t>下表</w:t>
            </w:r>
            <w:r>
              <w:rPr>
                <w:bCs/>
                <w:color w:val="FF0000"/>
                <w:sz w:val="24"/>
              </w:rPr>
              <w:t>。</w:t>
            </w:r>
          </w:p>
          <w:p>
            <w:pPr>
              <w:pStyle w:val="6"/>
              <w:keepNext/>
              <w:spacing w:before="0" w:after="0"/>
              <w:jc w:val="center"/>
              <w:rPr>
                <w:rFonts w:ascii="Times New Roman" w:hAnsi="Times New Roman" w:eastAsia="宋体" w:cs="Times New Roman"/>
                <w:b/>
                <w:bCs/>
                <w:color w:val="FF0000"/>
                <w:sz w:val="21"/>
                <w:szCs w:val="24"/>
              </w:rPr>
            </w:pPr>
            <w:bookmarkStart w:id="4" w:name="_Ref430768158"/>
            <w:r>
              <w:rPr>
                <w:rFonts w:ascii="Times New Roman" w:hAnsi="Times New Roman" w:eastAsia="宋体" w:cs="Times New Roman"/>
                <w:b/>
                <w:bCs/>
                <w:color w:val="FF0000"/>
                <w:sz w:val="21"/>
                <w:szCs w:val="24"/>
              </w:rPr>
              <w:t>表</w:t>
            </w:r>
            <w:bookmarkEnd w:id="4"/>
            <w:r>
              <w:rPr>
                <w:rFonts w:hint="eastAsia" w:ascii="Times New Roman" w:hAnsi="Times New Roman" w:eastAsia="宋体" w:cs="Times New Roman"/>
                <w:b/>
                <w:bCs/>
                <w:color w:val="FF0000"/>
                <w:sz w:val="21"/>
                <w:szCs w:val="24"/>
              </w:rPr>
              <w:t xml:space="preserve">5-6 </w:t>
            </w:r>
            <w:r>
              <w:rPr>
                <w:rFonts w:ascii="Times New Roman" w:hAnsi="Times New Roman" w:eastAsia="宋体" w:cs="Times New Roman"/>
                <w:b/>
                <w:bCs/>
                <w:color w:val="FF0000"/>
                <w:sz w:val="21"/>
                <w:szCs w:val="24"/>
              </w:rPr>
              <w:t>项目危险废物产生情况</w:t>
            </w:r>
          </w:p>
          <w:tbl>
            <w:tblPr>
              <w:tblStyle w:val="15"/>
              <w:tblW w:w="8296"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auto" w:sz="4" w:space="0"/>
              </w:tblBorders>
              <w:tblLayout w:type="fixed"/>
              <w:tblCellMar>
                <w:top w:w="0" w:type="dxa"/>
                <w:left w:w="108" w:type="dxa"/>
                <w:bottom w:w="0" w:type="dxa"/>
                <w:right w:w="108" w:type="dxa"/>
              </w:tblCellMar>
            </w:tblPr>
            <w:tblGrid>
              <w:gridCol w:w="1220"/>
              <w:gridCol w:w="1405"/>
              <w:gridCol w:w="1668"/>
              <w:gridCol w:w="1438"/>
              <w:gridCol w:w="1555"/>
              <w:gridCol w:w="10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auto" w:sz="4" w:space="0"/>
                </w:tblBorders>
                <w:tblLayout w:type="fixed"/>
                <w:tblCellMar>
                  <w:top w:w="0" w:type="dxa"/>
                  <w:left w:w="108" w:type="dxa"/>
                  <w:bottom w:w="0" w:type="dxa"/>
                  <w:right w:w="108" w:type="dxa"/>
                </w:tblCellMar>
              </w:tblPrEx>
              <w:trPr>
                <w:trHeight w:val="456" w:hRule="atLeast"/>
                <w:jc w:val="center"/>
              </w:trPr>
              <w:tc>
                <w:tcPr>
                  <w:tcW w:w="1220" w:type="dxa"/>
                  <w:tcBorders>
                    <w:tl2br w:val="nil"/>
                    <w:tr2bl w:val="nil"/>
                  </w:tcBorders>
                  <w:vAlign w:val="center"/>
                </w:tcPr>
                <w:p>
                  <w:pPr>
                    <w:jc w:val="center"/>
                    <w:rPr>
                      <w:bCs/>
                      <w:color w:val="FF0000"/>
                      <w:szCs w:val="21"/>
                    </w:rPr>
                  </w:pPr>
                  <w:r>
                    <w:rPr>
                      <w:bCs/>
                      <w:color w:val="FF0000"/>
                      <w:szCs w:val="21"/>
                    </w:rPr>
                    <w:t>危废</w:t>
                  </w:r>
                  <w:r>
                    <w:rPr>
                      <w:rFonts w:hint="eastAsia"/>
                      <w:bCs/>
                      <w:color w:val="FF0000"/>
                      <w:szCs w:val="21"/>
                    </w:rPr>
                    <w:t>编号</w:t>
                  </w:r>
                </w:p>
              </w:tc>
              <w:tc>
                <w:tcPr>
                  <w:tcW w:w="1405" w:type="dxa"/>
                  <w:tcBorders>
                    <w:tl2br w:val="nil"/>
                    <w:tr2bl w:val="nil"/>
                  </w:tcBorders>
                  <w:vAlign w:val="center"/>
                </w:tcPr>
                <w:p>
                  <w:pPr>
                    <w:jc w:val="center"/>
                    <w:rPr>
                      <w:bCs/>
                      <w:color w:val="FF0000"/>
                      <w:szCs w:val="21"/>
                    </w:rPr>
                  </w:pPr>
                  <w:r>
                    <w:rPr>
                      <w:bCs/>
                      <w:color w:val="FF0000"/>
                      <w:szCs w:val="21"/>
                    </w:rPr>
                    <w:t>污染物</w:t>
                  </w:r>
                </w:p>
              </w:tc>
              <w:tc>
                <w:tcPr>
                  <w:tcW w:w="1668" w:type="dxa"/>
                  <w:tcBorders>
                    <w:tl2br w:val="nil"/>
                    <w:tr2bl w:val="nil"/>
                  </w:tcBorders>
                  <w:vAlign w:val="center"/>
                </w:tcPr>
                <w:p>
                  <w:pPr>
                    <w:jc w:val="center"/>
                    <w:rPr>
                      <w:bCs/>
                      <w:color w:val="FF0000"/>
                      <w:szCs w:val="21"/>
                    </w:rPr>
                  </w:pPr>
                  <w:r>
                    <w:rPr>
                      <w:bCs/>
                      <w:color w:val="FF0000"/>
                      <w:szCs w:val="21"/>
                    </w:rPr>
                    <w:t>危险废物代码</w:t>
                  </w:r>
                </w:p>
              </w:tc>
              <w:tc>
                <w:tcPr>
                  <w:tcW w:w="1438" w:type="dxa"/>
                  <w:tcBorders>
                    <w:tl2br w:val="nil"/>
                    <w:tr2bl w:val="nil"/>
                  </w:tcBorders>
                  <w:vAlign w:val="center"/>
                </w:tcPr>
                <w:p>
                  <w:pPr>
                    <w:jc w:val="center"/>
                    <w:rPr>
                      <w:bCs/>
                      <w:color w:val="FF0000"/>
                      <w:szCs w:val="21"/>
                    </w:rPr>
                  </w:pPr>
                  <w:r>
                    <w:rPr>
                      <w:bCs/>
                      <w:color w:val="FF0000"/>
                      <w:szCs w:val="21"/>
                    </w:rPr>
                    <w:t>储存区域</w:t>
                  </w:r>
                </w:p>
              </w:tc>
              <w:tc>
                <w:tcPr>
                  <w:tcW w:w="1555" w:type="dxa"/>
                  <w:tcBorders>
                    <w:tl2br w:val="nil"/>
                    <w:tr2bl w:val="nil"/>
                  </w:tcBorders>
                  <w:vAlign w:val="center"/>
                </w:tcPr>
                <w:p>
                  <w:pPr>
                    <w:jc w:val="center"/>
                    <w:rPr>
                      <w:bCs/>
                      <w:color w:val="FF0000"/>
                      <w:szCs w:val="21"/>
                    </w:rPr>
                  </w:pPr>
                  <w:r>
                    <w:rPr>
                      <w:bCs/>
                      <w:color w:val="FF0000"/>
                      <w:szCs w:val="21"/>
                    </w:rPr>
                    <w:t>危险特性</w:t>
                  </w:r>
                </w:p>
              </w:tc>
              <w:tc>
                <w:tcPr>
                  <w:tcW w:w="1010" w:type="dxa"/>
                  <w:tcBorders>
                    <w:tl2br w:val="nil"/>
                    <w:tr2bl w:val="nil"/>
                  </w:tcBorders>
                  <w:vAlign w:val="center"/>
                </w:tcPr>
                <w:p>
                  <w:pPr>
                    <w:jc w:val="center"/>
                    <w:rPr>
                      <w:bCs/>
                      <w:color w:val="FF0000"/>
                      <w:szCs w:val="21"/>
                    </w:rPr>
                  </w:pPr>
                  <w:r>
                    <w:rPr>
                      <w:bCs/>
                      <w:color w:val="FF0000"/>
                      <w:szCs w:val="21"/>
                    </w:rPr>
                    <w:t>产生量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auto" w:sz="4" w:space="0"/>
                </w:tblBorders>
                <w:tblLayout w:type="fixed"/>
                <w:tblCellMar>
                  <w:top w:w="0" w:type="dxa"/>
                  <w:left w:w="108" w:type="dxa"/>
                  <w:bottom w:w="0" w:type="dxa"/>
                  <w:right w:w="108" w:type="dxa"/>
                </w:tblCellMar>
              </w:tblPrEx>
              <w:trPr>
                <w:trHeight w:val="102" w:hRule="atLeast"/>
                <w:jc w:val="center"/>
              </w:trPr>
              <w:tc>
                <w:tcPr>
                  <w:tcW w:w="1220" w:type="dxa"/>
                  <w:tcBorders>
                    <w:tl2br w:val="nil"/>
                    <w:tr2bl w:val="nil"/>
                  </w:tcBorders>
                  <w:vAlign w:val="center"/>
                </w:tcPr>
                <w:p>
                  <w:pPr>
                    <w:jc w:val="center"/>
                    <w:rPr>
                      <w:bCs/>
                      <w:color w:val="FF0000"/>
                      <w:szCs w:val="21"/>
                    </w:rPr>
                  </w:pPr>
                  <w:r>
                    <w:rPr>
                      <w:rFonts w:hint="eastAsia"/>
                      <w:bCs/>
                      <w:color w:val="FF0000"/>
                      <w:kern w:val="24"/>
                      <w:szCs w:val="21"/>
                    </w:rPr>
                    <w:t>HW29</w:t>
                  </w:r>
                </w:p>
              </w:tc>
              <w:tc>
                <w:tcPr>
                  <w:tcW w:w="1405" w:type="dxa"/>
                  <w:tcBorders>
                    <w:tl2br w:val="nil"/>
                    <w:tr2bl w:val="nil"/>
                  </w:tcBorders>
                  <w:vAlign w:val="center"/>
                </w:tcPr>
                <w:p>
                  <w:pPr>
                    <w:jc w:val="center"/>
                    <w:rPr>
                      <w:bCs/>
                      <w:color w:val="FF0000"/>
                      <w:szCs w:val="21"/>
                    </w:rPr>
                  </w:pPr>
                  <w:r>
                    <w:rPr>
                      <w:bCs/>
                      <w:color w:val="FF0000"/>
                      <w:kern w:val="24"/>
                      <w:szCs w:val="21"/>
                    </w:rPr>
                    <w:t>废UV灯管</w:t>
                  </w:r>
                </w:p>
              </w:tc>
              <w:tc>
                <w:tcPr>
                  <w:tcW w:w="1668" w:type="dxa"/>
                  <w:tcBorders>
                    <w:tl2br w:val="nil"/>
                    <w:tr2bl w:val="nil"/>
                  </w:tcBorders>
                  <w:vAlign w:val="center"/>
                </w:tcPr>
                <w:p>
                  <w:pPr>
                    <w:jc w:val="center"/>
                    <w:rPr>
                      <w:bCs/>
                      <w:color w:val="FF0000"/>
                      <w:szCs w:val="21"/>
                    </w:rPr>
                  </w:pPr>
                  <w:r>
                    <w:rPr>
                      <w:rFonts w:hint="eastAsia"/>
                      <w:color w:val="FF0000"/>
                      <w:kern w:val="24"/>
                      <w:szCs w:val="21"/>
                    </w:rPr>
                    <w:t>900-023-29</w:t>
                  </w:r>
                </w:p>
              </w:tc>
              <w:tc>
                <w:tcPr>
                  <w:tcW w:w="1438" w:type="dxa"/>
                  <w:tcBorders>
                    <w:tl2br w:val="nil"/>
                    <w:tr2bl w:val="nil"/>
                  </w:tcBorders>
                  <w:vAlign w:val="center"/>
                </w:tcPr>
                <w:p>
                  <w:pPr>
                    <w:jc w:val="center"/>
                    <w:rPr>
                      <w:bCs/>
                      <w:color w:val="FF0000"/>
                      <w:szCs w:val="21"/>
                    </w:rPr>
                  </w:pPr>
                  <w:r>
                    <w:rPr>
                      <w:bCs/>
                      <w:color w:val="FF0000"/>
                      <w:szCs w:val="21"/>
                    </w:rPr>
                    <w:t>危废暂存区</w:t>
                  </w:r>
                </w:p>
              </w:tc>
              <w:tc>
                <w:tcPr>
                  <w:tcW w:w="1555" w:type="dxa"/>
                  <w:tcBorders>
                    <w:tl2br w:val="nil"/>
                    <w:tr2bl w:val="nil"/>
                  </w:tcBorders>
                  <w:vAlign w:val="center"/>
                </w:tcPr>
                <w:p>
                  <w:pPr>
                    <w:jc w:val="center"/>
                    <w:rPr>
                      <w:bCs/>
                      <w:color w:val="FF0000"/>
                      <w:szCs w:val="21"/>
                    </w:rPr>
                  </w:pPr>
                  <w:r>
                    <w:rPr>
                      <w:bCs/>
                      <w:color w:val="FF0000"/>
                    </w:rPr>
                    <w:t>毒性</w:t>
                  </w:r>
                </w:p>
              </w:tc>
              <w:tc>
                <w:tcPr>
                  <w:tcW w:w="1010" w:type="dxa"/>
                  <w:tcBorders>
                    <w:tl2br w:val="nil"/>
                    <w:tr2bl w:val="nil"/>
                  </w:tcBorders>
                  <w:vAlign w:val="center"/>
                </w:tcPr>
                <w:p>
                  <w:pPr>
                    <w:jc w:val="center"/>
                    <w:rPr>
                      <w:bCs/>
                      <w:color w:val="FF0000"/>
                      <w:szCs w:val="21"/>
                    </w:rPr>
                  </w:pPr>
                  <w:r>
                    <w:rPr>
                      <w:bCs/>
                      <w:color w:val="FF0000"/>
                      <w:szCs w:val="21"/>
                    </w:rPr>
                    <w:t>0.0</w:t>
                  </w:r>
                  <w:r>
                    <w:rPr>
                      <w:rFonts w:hint="eastAsia"/>
                      <w:bCs/>
                      <w:color w:val="FF0000"/>
                      <w:szCs w:val="21"/>
                    </w:rPr>
                    <w:t>1</w:t>
                  </w:r>
                  <w:r>
                    <w:rPr>
                      <w:bCs/>
                      <w:color w:val="FF0000"/>
                      <w:szCs w:val="21"/>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auto" w:sz="4" w:space="0"/>
                </w:tblBorders>
                <w:tblLayout w:type="fixed"/>
              </w:tblPrEx>
              <w:trPr>
                <w:trHeight w:val="102" w:hRule="atLeast"/>
                <w:jc w:val="center"/>
              </w:trPr>
              <w:tc>
                <w:tcPr>
                  <w:tcW w:w="1220" w:type="dxa"/>
                  <w:tcBorders>
                    <w:tl2br w:val="nil"/>
                    <w:tr2bl w:val="nil"/>
                  </w:tcBorders>
                  <w:vAlign w:val="center"/>
                </w:tcPr>
                <w:p>
                  <w:pPr>
                    <w:jc w:val="center"/>
                    <w:rPr>
                      <w:bCs/>
                      <w:color w:val="FF0000"/>
                      <w:szCs w:val="21"/>
                    </w:rPr>
                  </w:pPr>
                  <w:r>
                    <w:rPr>
                      <w:bCs/>
                      <w:color w:val="FF0000"/>
                      <w:szCs w:val="21"/>
                    </w:rPr>
                    <w:t>HW49</w:t>
                  </w:r>
                </w:p>
              </w:tc>
              <w:tc>
                <w:tcPr>
                  <w:tcW w:w="1405" w:type="dxa"/>
                  <w:tcBorders>
                    <w:tl2br w:val="nil"/>
                    <w:tr2bl w:val="nil"/>
                  </w:tcBorders>
                  <w:vAlign w:val="center"/>
                </w:tcPr>
                <w:p>
                  <w:pPr>
                    <w:jc w:val="center"/>
                    <w:rPr>
                      <w:bCs/>
                      <w:color w:val="FF0000"/>
                      <w:szCs w:val="21"/>
                    </w:rPr>
                  </w:pPr>
                  <w:r>
                    <w:rPr>
                      <w:bCs/>
                      <w:color w:val="FF0000"/>
                      <w:szCs w:val="21"/>
                    </w:rPr>
                    <w:t>废活性炭</w:t>
                  </w:r>
                </w:p>
              </w:tc>
              <w:tc>
                <w:tcPr>
                  <w:tcW w:w="1668" w:type="dxa"/>
                  <w:tcBorders>
                    <w:tl2br w:val="nil"/>
                    <w:tr2bl w:val="nil"/>
                  </w:tcBorders>
                  <w:vAlign w:val="center"/>
                </w:tcPr>
                <w:p>
                  <w:pPr>
                    <w:jc w:val="center"/>
                    <w:rPr>
                      <w:bCs/>
                      <w:color w:val="FF0000"/>
                      <w:szCs w:val="21"/>
                    </w:rPr>
                  </w:pPr>
                  <w:r>
                    <w:rPr>
                      <w:bCs/>
                      <w:color w:val="FF0000"/>
                      <w:szCs w:val="21"/>
                      <w:lang w:val="zh-CN"/>
                    </w:rPr>
                    <w:t>900-041-49</w:t>
                  </w:r>
                </w:p>
              </w:tc>
              <w:tc>
                <w:tcPr>
                  <w:tcW w:w="1438" w:type="dxa"/>
                  <w:tcBorders>
                    <w:tl2br w:val="nil"/>
                    <w:tr2bl w:val="nil"/>
                  </w:tcBorders>
                  <w:vAlign w:val="center"/>
                </w:tcPr>
                <w:p>
                  <w:pPr>
                    <w:jc w:val="center"/>
                    <w:rPr>
                      <w:bCs/>
                      <w:color w:val="FF0000"/>
                      <w:szCs w:val="21"/>
                    </w:rPr>
                  </w:pPr>
                  <w:r>
                    <w:rPr>
                      <w:bCs/>
                      <w:color w:val="FF0000"/>
                      <w:szCs w:val="21"/>
                    </w:rPr>
                    <w:t>危废暂存区</w:t>
                  </w:r>
                </w:p>
              </w:tc>
              <w:tc>
                <w:tcPr>
                  <w:tcW w:w="1555" w:type="dxa"/>
                  <w:tcBorders>
                    <w:tl2br w:val="nil"/>
                    <w:tr2bl w:val="nil"/>
                  </w:tcBorders>
                  <w:vAlign w:val="center"/>
                </w:tcPr>
                <w:p>
                  <w:pPr>
                    <w:jc w:val="center"/>
                    <w:rPr>
                      <w:bCs/>
                      <w:color w:val="FF0000"/>
                      <w:szCs w:val="21"/>
                    </w:rPr>
                  </w:pPr>
                  <w:r>
                    <w:rPr>
                      <w:bCs/>
                      <w:color w:val="FF0000"/>
                    </w:rPr>
                    <w:t>毒性</w:t>
                  </w:r>
                  <w:r>
                    <w:rPr>
                      <w:rFonts w:hint="eastAsia"/>
                      <w:bCs/>
                      <w:color w:val="FF0000"/>
                      <w:szCs w:val="21"/>
                    </w:rPr>
                    <w:t>/</w:t>
                  </w:r>
                  <w:r>
                    <w:rPr>
                      <w:color w:val="FF0000"/>
                    </w:rPr>
                    <w:fldChar w:fldCharType="begin"/>
                  </w:r>
                  <w:r>
                    <w:rPr>
                      <w:color w:val="FF0000"/>
                    </w:rPr>
                    <w:instrText xml:space="preserve"> HYPERLINK "http://baike.baidu.com/view/3574623.htm" \t "_blank" </w:instrText>
                  </w:r>
                  <w:r>
                    <w:rPr>
                      <w:color w:val="FF0000"/>
                    </w:rPr>
                    <w:fldChar w:fldCharType="separate"/>
                  </w:r>
                  <w:r>
                    <w:rPr>
                      <w:bCs/>
                      <w:color w:val="FF0000"/>
                    </w:rPr>
                    <w:t>易燃性</w:t>
                  </w:r>
                  <w:r>
                    <w:rPr>
                      <w:bCs/>
                      <w:color w:val="FF0000"/>
                    </w:rPr>
                    <w:fldChar w:fldCharType="end"/>
                  </w:r>
                </w:p>
              </w:tc>
              <w:tc>
                <w:tcPr>
                  <w:tcW w:w="1010" w:type="dxa"/>
                  <w:tcBorders>
                    <w:tl2br w:val="nil"/>
                    <w:tr2bl w:val="nil"/>
                  </w:tcBorders>
                  <w:vAlign w:val="center"/>
                </w:tcPr>
                <w:p>
                  <w:pPr>
                    <w:jc w:val="center"/>
                    <w:rPr>
                      <w:bCs/>
                      <w:color w:val="FF0000"/>
                      <w:szCs w:val="21"/>
                    </w:rPr>
                  </w:pPr>
                  <w:r>
                    <w:rPr>
                      <w:rFonts w:hint="eastAsia"/>
                      <w:bCs/>
                      <w:color w:val="FF0000"/>
                      <w:szCs w:val="21"/>
                    </w:rPr>
                    <w:t>0.</w:t>
                  </w:r>
                  <w:r>
                    <w:rPr>
                      <w:rFonts w:hint="eastAsia"/>
                      <w:bCs/>
                      <w:color w:val="FF0000"/>
                      <w:szCs w:val="21"/>
                      <w:lang w:val="en-US" w:eastAsia="zh-CN"/>
                    </w:rPr>
                    <w:t>24</w:t>
                  </w:r>
                  <w:r>
                    <w:rPr>
                      <w:bCs/>
                      <w:color w:val="FF0000"/>
                      <w:szCs w:val="21"/>
                    </w:rPr>
                    <w:t>t/a</w:t>
                  </w:r>
                </w:p>
              </w:tc>
            </w:tr>
          </w:tbl>
          <w:p>
            <w:pPr>
              <w:spacing w:line="360" w:lineRule="auto"/>
              <w:ind w:firstLine="480" w:firstLineChars="200"/>
              <w:rPr>
                <w:bCs/>
                <w:sz w:val="24"/>
              </w:rPr>
            </w:pPr>
            <w:r>
              <w:rPr>
                <w:bCs/>
                <w:sz w:val="24"/>
              </w:rPr>
              <w:t>上述危险废物必须分类堆放，并放入专用容器中，贮存时应按《危险废物贮存污染控制标准》（GB18597-2001）执行，并由有资质</w:t>
            </w:r>
            <w:r>
              <w:rPr>
                <w:rFonts w:hint="eastAsia"/>
                <w:bCs/>
                <w:sz w:val="24"/>
              </w:rPr>
              <w:t>单位</w:t>
            </w:r>
            <w:r>
              <w:rPr>
                <w:bCs/>
                <w:sz w:val="24"/>
              </w:rPr>
              <w:t>收集处理。</w:t>
            </w:r>
          </w:p>
          <w:p>
            <w:pPr>
              <w:spacing w:line="360" w:lineRule="auto"/>
              <w:ind w:firstLine="480" w:firstLineChars="200"/>
              <w:rPr>
                <w:bCs/>
                <w:sz w:val="24"/>
              </w:rPr>
            </w:pPr>
          </w:p>
          <w:p>
            <w:pPr>
              <w:spacing w:line="360" w:lineRule="auto"/>
              <w:ind w:firstLine="480" w:firstLineChars="200"/>
              <w:rPr>
                <w:bCs/>
                <w:sz w:val="24"/>
              </w:rPr>
            </w:pPr>
          </w:p>
          <w:p>
            <w:pPr>
              <w:spacing w:line="360" w:lineRule="auto"/>
              <w:ind w:firstLine="480" w:firstLineChars="200"/>
              <w:rPr>
                <w:bCs/>
                <w:sz w:val="24"/>
              </w:rPr>
            </w:pPr>
          </w:p>
          <w:p>
            <w:pPr>
              <w:spacing w:line="360" w:lineRule="auto"/>
              <w:ind w:firstLine="480" w:firstLineChars="200"/>
              <w:rPr>
                <w:bCs/>
                <w:sz w:val="24"/>
              </w:rPr>
            </w:pPr>
          </w:p>
          <w:p>
            <w:pPr>
              <w:pStyle w:val="2"/>
            </w:pPr>
          </w:p>
          <w:p>
            <w:pPr>
              <w:spacing w:line="360" w:lineRule="auto"/>
              <w:ind w:firstLine="420" w:firstLineChars="200"/>
            </w:pPr>
          </w:p>
          <w:p>
            <w:pPr>
              <w:spacing w:line="360" w:lineRule="auto"/>
              <w:ind w:firstLine="420" w:firstLineChars="200"/>
            </w:pPr>
          </w:p>
          <w:p>
            <w:pPr>
              <w:spacing w:line="360" w:lineRule="auto"/>
              <w:ind w:firstLine="420" w:firstLineChars="200"/>
            </w:pPr>
          </w:p>
          <w:p>
            <w:pPr>
              <w:spacing w:line="360" w:lineRule="auto"/>
              <w:ind w:firstLine="420" w:firstLineChars="200"/>
            </w:pPr>
          </w:p>
          <w:p>
            <w:pPr>
              <w:spacing w:line="360" w:lineRule="auto"/>
              <w:ind w:firstLine="420" w:firstLineChars="200"/>
            </w:pPr>
          </w:p>
          <w:p>
            <w:pPr>
              <w:spacing w:line="360" w:lineRule="auto"/>
              <w:ind w:firstLine="420" w:firstLineChars="200"/>
            </w:pPr>
          </w:p>
          <w:p>
            <w:pPr>
              <w:spacing w:line="360" w:lineRule="auto"/>
              <w:ind w:firstLine="420" w:firstLineChars="200"/>
            </w:pPr>
          </w:p>
          <w:p>
            <w:pPr>
              <w:spacing w:line="360" w:lineRule="auto"/>
              <w:ind w:firstLine="420" w:firstLineChars="200"/>
            </w:pPr>
          </w:p>
        </w:tc>
      </w:tr>
    </w:tbl>
    <w:p>
      <w:pPr>
        <w:sectPr>
          <w:pgSz w:w="11906" w:h="16838"/>
          <w:pgMar w:top="1440" w:right="1800" w:bottom="1440" w:left="1800" w:header="851" w:footer="992" w:gutter="0"/>
          <w:pgNumType w:fmt="decimal"/>
          <w:cols w:space="425" w:num="1"/>
          <w:docGrid w:type="lines" w:linePitch="312" w:charSpace="0"/>
        </w:sectPr>
      </w:pPr>
    </w:p>
    <w:p>
      <w:pPr>
        <w:rPr>
          <w:b/>
          <w:bCs/>
        </w:rPr>
      </w:pPr>
      <w:r>
        <w:rPr>
          <w:rFonts w:hint="eastAsia"/>
          <w:b/>
          <w:bCs/>
          <w:sz w:val="28"/>
        </w:rPr>
        <w:t>项目主要污染物产生及预计排放情况</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696"/>
        <w:gridCol w:w="713"/>
        <w:gridCol w:w="1346"/>
        <w:gridCol w:w="2474"/>
        <w:gridCol w:w="24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806" w:type="dxa"/>
            <w:vAlign w:val="center"/>
          </w:tcPr>
          <w:p>
            <w:pPr>
              <w:adjustRightInd w:val="0"/>
              <w:snapToGrid w:val="0"/>
              <w:spacing w:line="360" w:lineRule="auto"/>
              <w:jc w:val="center"/>
              <w:rPr>
                <w:sz w:val="24"/>
              </w:rPr>
            </w:pPr>
            <w:r>
              <w:rPr>
                <w:rFonts w:hint="eastAsia"/>
                <w:b/>
                <w:caps/>
                <w:sz w:val="24"/>
              </w:rPr>
              <w:t>类型</w:t>
            </w:r>
          </w:p>
        </w:tc>
        <w:tc>
          <w:tcPr>
            <w:tcW w:w="1409" w:type="dxa"/>
            <w:gridSpan w:val="2"/>
            <w:vAlign w:val="center"/>
          </w:tcPr>
          <w:p>
            <w:pPr>
              <w:adjustRightInd w:val="0"/>
              <w:snapToGrid w:val="0"/>
              <w:spacing w:line="360" w:lineRule="auto"/>
              <w:jc w:val="center"/>
              <w:rPr>
                <w:sz w:val="24"/>
              </w:rPr>
            </w:pPr>
            <w:r>
              <w:rPr>
                <w:rFonts w:hint="eastAsia"/>
                <w:b/>
                <w:caps/>
                <w:sz w:val="24"/>
              </w:rPr>
              <w:t>排放源</w:t>
            </w:r>
          </w:p>
        </w:tc>
        <w:tc>
          <w:tcPr>
            <w:tcW w:w="1346" w:type="dxa"/>
            <w:vAlign w:val="center"/>
          </w:tcPr>
          <w:p>
            <w:pPr>
              <w:adjustRightInd w:val="0"/>
              <w:snapToGrid w:val="0"/>
              <w:spacing w:line="360" w:lineRule="auto"/>
              <w:jc w:val="center"/>
              <w:rPr>
                <w:b/>
                <w:caps/>
                <w:sz w:val="24"/>
              </w:rPr>
            </w:pPr>
            <w:r>
              <w:rPr>
                <w:rFonts w:hint="eastAsia"/>
                <w:b/>
                <w:caps/>
                <w:sz w:val="24"/>
              </w:rPr>
              <w:t>污染物</w:t>
            </w:r>
          </w:p>
          <w:p>
            <w:pPr>
              <w:adjustRightInd w:val="0"/>
              <w:snapToGrid w:val="0"/>
              <w:spacing w:line="360" w:lineRule="auto"/>
              <w:jc w:val="center"/>
              <w:rPr>
                <w:sz w:val="24"/>
              </w:rPr>
            </w:pPr>
            <w:r>
              <w:rPr>
                <w:rFonts w:hint="eastAsia"/>
                <w:b/>
                <w:caps/>
                <w:sz w:val="24"/>
              </w:rPr>
              <w:t>名称</w:t>
            </w:r>
          </w:p>
        </w:tc>
        <w:tc>
          <w:tcPr>
            <w:tcW w:w="2474" w:type="dxa"/>
            <w:vAlign w:val="center"/>
          </w:tcPr>
          <w:p>
            <w:pPr>
              <w:adjustRightInd w:val="0"/>
              <w:snapToGrid w:val="0"/>
              <w:spacing w:line="360" w:lineRule="auto"/>
              <w:jc w:val="center"/>
              <w:rPr>
                <w:sz w:val="24"/>
              </w:rPr>
            </w:pPr>
            <w:r>
              <w:rPr>
                <w:rFonts w:hint="eastAsia"/>
                <w:b/>
                <w:caps/>
                <w:sz w:val="24"/>
              </w:rPr>
              <w:t>产生浓度及产生量</w:t>
            </w:r>
          </w:p>
        </w:tc>
        <w:tc>
          <w:tcPr>
            <w:tcW w:w="2487" w:type="dxa"/>
            <w:vAlign w:val="center"/>
          </w:tcPr>
          <w:p>
            <w:pPr>
              <w:adjustRightInd w:val="0"/>
              <w:snapToGrid w:val="0"/>
              <w:spacing w:line="360" w:lineRule="auto"/>
              <w:jc w:val="center"/>
              <w:rPr>
                <w:sz w:val="24"/>
              </w:rPr>
            </w:pPr>
            <w:r>
              <w:rPr>
                <w:rFonts w:hint="eastAsia"/>
                <w:b/>
                <w:caps/>
                <w:sz w:val="24"/>
              </w:rPr>
              <w:t>排放浓度及排放量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 w:hRule="atLeast"/>
        </w:trPr>
        <w:tc>
          <w:tcPr>
            <w:tcW w:w="806" w:type="dxa"/>
            <w:vMerge w:val="restart"/>
            <w:vAlign w:val="center"/>
          </w:tcPr>
          <w:p>
            <w:pPr>
              <w:adjustRightInd w:val="0"/>
              <w:snapToGrid w:val="0"/>
              <w:spacing w:line="360" w:lineRule="auto"/>
              <w:jc w:val="center"/>
              <w:rPr>
                <w:b/>
                <w:caps/>
                <w:sz w:val="24"/>
              </w:rPr>
            </w:pPr>
            <w:r>
              <w:rPr>
                <w:rFonts w:hint="eastAsia"/>
                <w:b/>
                <w:caps/>
                <w:sz w:val="24"/>
              </w:rPr>
              <w:t>水</w:t>
            </w:r>
          </w:p>
          <w:p>
            <w:pPr>
              <w:adjustRightInd w:val="0"/>
              <w:snapToGrid w:val="0"/>
              <w:spacing w:line="360" w:lineRule="auto"/>
              <w:jc w:val="center"/>
              <w:rPr>
                <w:b/>
                <w:caps/>
                <w:sz w:val="24"/>
              </w:rPr>
            </w:pPr>
            <w:r>
              <w:rPr>
                <w:rFonts w:hint="eastAsia"/>
                <w:b/>
                <w:caps/>
                <w:sz w:val="24"/>
              </w:rPr>
              <w:t>污</w:t>
            </w:r>
          </w:p>
          <w:p>
            <w:pPr>
              <w:adjustRightInd w:val="0"/>
              <w:snapToGrid w:val="0"/>
              <w:spacing w:line="360" w:lineRule="auto"/>
              <w:jc w:val="center"/>
              <w:rPr>
                <w:b/>
                <w:caps/>
                <w:sz w:val="24"/>
              </w:rPr>
            </w:pPr>
            <w:r>
              <w:rPr>
                <w:rFonts w:hint="eastAsia"/>
                <w:b/>
                <w:caps/>
                <w:sz w:val="24"/>
              </w:rPr>
              <w:t>染</w:t>
            </w:r>
          </w:p>
          <w:p>
            <w:pPr>
              <w:adjustRightInd w:val="0"/>
              <w:snapToGrid w:val="0"/>
              <w:spacing w:line="360" w:lineRule="auto"/>
              <w:jc w:val="center"/>
              <w:rPr>
                <w:sz w:val="24"/>
              </w:rPr>
            </w:pPr>
            <w:r>
              <w:rPr>
                <w:rFonts w:hint="eastAsia"/>
                <w:b/>
                <w:caps/>
                <w:sz w:val="24"/>
              </w:rPr>
              <w:t>物</w:t>
            </w:r>
          </w:p>
        </w:tc>
        <w:tc>
          <w:tcPr>
            <w:tcW w:w="1409" w:type="dxa"/>
            <w:gridSpan w:val="2"/>
            <w:vMerge w:val="restart"/>
            <w:vAlign w:val="center"/>
          </w:tcPr>
          <w:p>
            <w:pPr>
              <w:snapToGrid w:val="0"/>
              <w:spacing w:line="360" w:lineRule="auto"/>
              <w:jc w:val="center"/>
              <w:rPr>
                <w:sz w:val="24"/>
              </w:rPr>
            </w:pPr>
            <w:r>
              <w:rPr>
                <w:rFonts w:hint="eastAsia"/>
                <w:bCs/>
                <w:caps/>
                <w:sz w:val="24"/>
              </w:rPr>
              <w:t>生活污水</w:t>
            </w:r>
          </w:p>
        </w:tc>
        <w:tc>
          <w:tcPr>
            <w:tcW w:w="1346" w:type="dxa"/>
            <w:vAlign w:val="center"/>
          </w:tcPr>
          <w:p>
            <w:pPr>
              <w:snapToGrid w:val="0"/>
              <w:spacing w:line="360" w:lineRule="auto"/>
              <w:jc w:val="center"/>
              <w:rPr>
                <w:sz w:val="24"/>
              </w:rPr>
            </w:pPr>
            <w:r>
              <w:rPr>
                <w:rFonts w:hint="eastAsia"/>
                <w:sz w:val="24"/>
              </w:rPr>
              <w:t>废水量</w:t>
            </w:r>
          </w:p>
        </w:tc>
        <w:tc>
          <w:tcPr>
            <w:tcW w:w="2474" w:type="dxa"/>
            <w:vAlign w:val="center"/>
          </w:tcPr>
          <w:p>
            <w:pPr>
              <w:snapToGrid w:val="0"/>
              <w:spacing w:line="360" w:lineRule="auto"/>
              <w:jc w:val="center"/>
              <w:rPr>
                <w:sz w:val="24"/>
              </w:rPr>
            </w:pPr>
            <w:r>
              <w:rPr>
                <w:rFonts w:hint="eastAsia"/>
                <w:sz w:val="24"/>
              </w:rPr>
              <w:t>270t</w:t>
            </w:r>
            <w:r>
              <w:rPr>
                <w:sz w:val="24"/>
              </w:rPr>
              <w:t>/</w:t>
            </w:r>
            <w:r>
              <w:rPr>
                <w:rFonts w:hint="eastAsia"/>
                <w:sz w:val="24"/>
              </w:rPr>
              <w:t>a</w:t>
            </w:r>
          </w:p>
        </w:tc>
        <w:tc>
          <w:tcPr>
            <w:tcW w:w="2487" w:type="dxa"/>
            <w:vAlign w:val="center"/>
          </w:tcPr>
          <w:p>
            <w:pPr>
              <w:snapToGrid w:val="0"/>
              <w:spacing w:line="360" w:lineRule="auto"/>
              <w:jc w:val="center"/>
              <w:rPr>
                <w:sz w:val="24"/>
              </w:rPr>
            </w:pPr>
            <w:r>
              <w:rPr>
                <w:rFonts w:hint="eastAsia"/>
                <w:sz w:val="24"/>
              </w:rPr>
              <w:t>270t</w:t>
            </w:r>
            <w:r>
              <w:rPr>
                <w:sz w:val="24"/>
              </w:rPr>
              <w:t>/</w:t>
            </w:r>
            <w:r>
              <w:rPr>
                <w:rFonts w:hint="eastAsia"/>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 w:hRule="atLeast"/>
        </w:trPr>
        <w:tc>
          <w:tcPr>
            <w:tcW w:w="806" w:type="dxa"/>
            <w:vMerge w:val="continue"/>
            <w:vAlign w:val="center"/>
          </w:tcPr>
          <w:p>
            <w:pPr>
              <w:spacing w:line="360" w:lineRule="auto"/>
              <w:rPr>
                <w:sz w:val="24"/>
              </w:rPr>
            </w:pPr>
          </w:p>
        </w:tc>
        <w:tc>
          <w:tcPr>
            <w:tcW w:w="1409" w:type="dxa"/>
            <w:gridSpan w:val="2"/>
            <w:vMerge w:val="continue"/>
            <w:vAlign w:val="center"/>
          </w:tcPr>
          <w:p>
            <w:pPr>
              <w:spacing w:line="360" w:lineRule="auto"/>
              <w:rPr>
                <w:sz w:val="24"/>
              </w:rPr>
            </w:pPr>
          </w:p>
        </w:tc>
        <w:tc>
          <w:tcPr>
            <w:tcW w:w="1346" w:type="dxa"/>
            <w:vAlign w:val="center"/>
          </w:tcPr>
          <w:p>
            <w:pPr>
              <w:snapToGrid w:val="0"/>
              <w:spacing w:line="360" w:lineRule="auto"/>
              <w:jc w:val="center"/>
              <w:rPr>
                <w:sz w:val="24"/>
              </w:rPr>
            </w:pPr>
            <w:r>
              <w:rPr>
                <w:sz w:val="24"/>
              </w:rPr>
              <w:t>COD</w:t>
            </w:r>
            <w:r>
              <w:rPr>
                <w:sz w:val="24"/>
                <w:vertAlign w:val="subscript"/>
              </w:rPr>
              <w:t>Cr</w:t>
            </w:r>
          </w:p>
        </w:tc>
        <w:tc>
          <w:tcPr>
            <w:tcW w:w="2474" w:type="dxa"/>
            <w:vAlign w:val="center"/>
          </w:tcPr>
          <w:p>
            <w:pPr>
              <w:snapToGrid w:val="0"/>
              <w:spacing w:line="360" w:lineRule="auto"/>
              <w:jc w:val="center"/>
              <w:rPr>
                <w:sz w:val="24"/>
              </w:rPr>
            </w:pPr>
            <w:r>
              <w:rPr>
                <w:rFonts w:hint="eastAsia"/>
                <w:sz w:val="24"/>
              </w:rPr>
              <w:t>300mg</w:t>
            </w:r>
            <w:r>
              <w:rPr>
                <w:sz w:val="24"/>
              </w:rPr>
              <w:t>/L</w:t>
            </w:r>
            <w:r>
              <w:rPr>
                <w:rFonts w:hint="eastAsia"/>
                <w:sz w:val="24"/>
              </w:rPr>
              <w:t>；0.081t</w:t>
            </w:r>
            <w:r>
              <w:rPr>
                <w:sz w:val="24"/>
              </w:rPr>
              <w:t>/</w:t>
            </w:r>
            <w:r>
              <w:rPr>
                <w:rFonts w:hint="eastAsia"/>
                <w:sz w:val="24"/>
              </w:rPr>
              <w:t>a</w:t>
            </w:r>
          </w:p>
        </w:tc>
        <w:tc>
          <w:tcPr>
            <w:tcW w:w="2487" w:type="dxa"/>
            <w:vAlign w:val="center"/>
          </w:tcPr>
          <w:p>
            <w:pPr>
              <w:snapToGrid w:val="0"/>
              <w:spacing w:line="360" w:lineRule="auto"/>
              <w:jc w:val="center"/>
              <w:rPr>
                <w:sz w:val="24"/>
              </w:rPr>
            </w:pPr>
            <w:r>
              <w:rPr>
                <w:rFonts w:hint="eastAsia"/>
                <w:sz w:val="24"/>
              </w:rPr>
              <w:t>250mg</w:t>
            </w:r>
            <w:r>
              <w:rPr>
                <w:sz w:val="24"/>
              </w:rPr>
              <w:t>/L</w:t>
            </w:r>
            <w:r>
              <w:rPr>
                <w:rFonts w:hint="eastAsia"/>
                <w:sz w:val="24"/>
              </w:rPr>
              <w:t>；0.068 t</w:t>
            </w:r>
            <w:r>
              <w:rPr>
                <w:sz w:val="24"/>
              </w:rPr>
              <w:t>/</w:t>
            </w:r>
            <w:r>
              <w:rPr>
                <w:rFonts w:hint="eastAsia"/>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 w:hRule="atLeast"/>
        </w:trPr>
        <w:tc>
          <w:tcPr>
            <w:tcW w:w="806" w:type="dxa"/>
            <w:vMerge w:val="continue"/>
            <w:vAlign w:val="center"/>
          </w:tcPr>
          <w:p>
            <w:pPr>
              <w:spacing w:line="360" w:lineRule="auto"/>
              <w:rPr>
                <w:sz w:val="24"/>
              </w:rPr>
            </w:pPr>
          </w:p>
        </w:tc>
        <w:tc>
          <w:tcPr>
            <w:tcW w:w="1409" w:type="dxa"/>
            <w:gridSpan w:val="2"/>
            <w:vMerge w:val="continue"/>
            <w:vAlign w:val="center"/>
          </w:tcPr>
          <w:p>
            <w:pPr>
              <w:spacing w:line="360" w:lineRule="auto"/>
              <w:rPr>
                <w:sz w:val="24"/>
              </w:rPr>
            </w:pPr>
          </w:p>
        </w:tc>
        <w:tc>
          <w:tcPr>
            <w:tcW w:w="1346" w:type="dxa"/>
            <w:vAlign w:val="center"/>
          </w:tcPr>
          <w:p>
            <w:pPr>
              <w:snapToGrid w:val="0"/>
              <w:spacing w:line="360" w:lineRule="auto"/>
              <w:jc w:val="center"/>
              <w:rPr>
                <w:sz w:val="24"/>
              </w:rPr>
            </w:pPr>
            <w:r>
              <w:rPr>
                <w:sz w:val="24"/>
              </w:rPr>
              <w:t>BOD</w:t>
            </w:r>
            <w:r>
              <w:rPr>
                <w:sz w:val="24"/>
                <w:vertAlign w:val="subscript"/>
              </w:rPr>
              <w:t>5</w:t>
            </w:r>
          </w:p>
        </w:tc>
        <w:tc>
          <w:tcPr>
            <w:tcW w:w="2474" w:type="dxa"/>
            <w:vAlign w:val="center"/>
          </w:tcPr>
          <w:p>
            <w:pPr>
              <w:snapToGrid w:val="0"/>
              <w:spacing w:line="360" w:lineRule="auto"/>
              <w:jc w:val="center"/>
              <w:rPr>
                <w:sz w:val="24"/>
              </w:rPr>
            </w:pPr>
            <w:r>
              <w:rPr>
                <w:rFonts w:hint="eastAsia"/>
                <w:sz w:val="24"/>
              </w:rPr>
              <w:t>200mg</w:t>
            </w:r>
            <w:r>
              <w:rPr>
                <w:sz w:val="24"/>
              </w:rPr>
              <w:t>/L</w:t>
            </w:r>
            <w:r>
              <w:rPr>
                <w:rFonts w:hint="eastAsia"/>
                <w:sz w:val="24"/>
              </w:rPr>
              <w:t>；0.054t</w:t>
            </w:r>
            <w:r>
              <w:rPr>
                <w:sz w:val="24"/>
              </w:rPr>
              <w:t>/</w:t>
            </w:r>
            <w:r>
              <w:rPr>
                <w:rFonts w:hint="eastAsia"/>
                <w:sz w:val="24"/>
              </w:rPr>
              <w:t>a</w:t>
            </w:r>
          </w:p>
        </w:tc>
        <w:tc>
          <w:tcPr>
            <w:tcW w:w="2487" w:type="dxa"/>
            <w:vAlign w:val="center"/>
          </w:tcPr>
          <w:p>
            <w:pPr>
              <w:snapToGrid w:val="0"/>
              <w:spacing w:line="360" w:lineRule="auto"/>
              <w:jc w:val="center"/>
              <w:rPr>
                <w:sz w:val="24"/>
              </w:rPr>
            </w:pPr>
            <w:r>
              <w:rPr>
                <w:rFonts w:hint="eastAsia"/>
                <w:sz w:val="24"/>
              </w:rPr>
              <w:t>150mg</w:t>
            </w:r>
            <w:r>
              <w:rPr>
                <w:sz w:val="24"/>
              </w:rPr>
              <w:t>/L</w:t>
            </w:r>
            <w:r>
              <w:rPr>
                <w:rFonts w:hint="eastAsia"/>
                <w:sz w:val="24"/>
              </w:rPr>
              <w:t>；0.041t</w:t>
            </w:r>
            <w:r>
              <w:rPr>
                <w:sz w:val="24"/>
              </w:rPr>
              <w:t>/</w:t>
            </w:r>
            <w:r>
              <w:rPr>
                <w:rFonts w:hint="eastAsia"/>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 w:hRule="atLeast"/>
        </w:trPr>
        <w:tc>
          <w:tcPr>
            <w:tcW w:w="806" w:type="dxa"/>
            <w:vMerge w:val="continue"/>
            <w:vAlign w:val="center"/>
          </w:tcPr>
          <w:p>
            <w:pPr>
              <w:spacing w:line="360" w:lineRule="auto"/>
              <w:rPr>
                <w:sz w:val="24"/>
              </w:rPr>
            </w:pPr>
          </w:p>
        </w:tc>
        <w:tc>
          <w:tcPr>
            <w:tcW w:w="1409" w:type="dxa"/>
            <w:gridSpan w:val="2"/>
            <w:vMerge w:val="continue"/>
            <w:vAlign w:val="center"/>
          </w:tcPr>
          <w:p>
            <w:pPr>
              <w:spacing w:line="360" w:lineRule="auto"/>
              <w:rPr>
                <w:sz w:val="24"/>
              </w:rPr>
            </w:pPr>
          </w:p>
        </w:tc>
        <w:tc>
          <w:tcPr>
            <w:tcW w:w="1346" w:type="dxa"/>
            <w:vAlign w:val="center"/>
          </w:tcPr>
          <w:p>
            <w:pPr>
              <w:snapToGrid w:val="0"/>
              <w:spacing w:line="360" w:lineRule="auto"/>
              <w:jc w:val="center"/>
              <w:rPr>
                <w:sz w:val="24"/>
              </w:rPr>
            </w:pPr>
            <w:r>
              <w:rPr>
                <w:rFonts w:hint="eastAsia"/>
                <w:sz w:val="24"/>
              </w:rPr>
              <w:t>SS</w:t>
            </w:r>
          </w:p>
        </w:tc>
        <w:tc>
          <w:tcPr>
            <w:tcW w:w="2474" w:type="dxa"/>
            <w:vAlign w:val="center"/>
          </w:tcPr>
          <w:p>
            <w:pPr>
              <w:snapToGrid w:val="0"/>
              <w:spacing w:line="360" w:lineRule="auto"/>
              <w:jc w:val="center"/>
              <w:rPr>
                <w:sz w:val="24"/>
              </w:rPr>
            </w:pPr>
            <w:r>
              <w:rPr>
                <w:rFonts w:hint="eastAsia"/>
                <w:sz w:val="24"/>
              </w:rPr>
              <w:t>150mg</w:t>
            </w:r>
            <w:r>
              <w:rPr>
                <w:sz w:val="24"/>
              </w:rPr>
              <w:t>/L</w:t>
            </w:r>
            <w:r>
              <w:rPr>
                <w:rFonts w:hint="eastAsia"/>
                <w:sz w:val="24"/>
              </w:rPr>
              <w:t>；0.041t</w:t>
            </w:r>
            <w:r>
              <w:rPr>
                <w:sz w:val="24"/>
              </w:rPr>
              <w:t>/</w:t>
            </w:r>
            <w:r>
              <w:rPr>
                <w:rFonts w:hint="eastAsia"/>
                <w:sz w:val="24"/>
              </w:rPr>
              <w:t>a</w:t>
            </w:r>
          </w:p>
        </w:tc>
        <w:tc>
          <w:tcPr>
            <w:tcW w:w="2487" w:type="dxa"/>
            <w:vAlign w:val="center"/>
          </w:tcPr>
          <w:p>
            <w:pPr>
              <w:snapToGrid w:val="0"/>
              <w:spacing w:line="360" w:lineRule="auto"/>
              <w:jc w:val="center"/>
              <w:rPr>
                <w:sz w:val="24"/>
              </w:rPr>
            </w:pPr>
            <w:r>
              <w:rPr>
                <w:rFonts w:hint="eastAsia"/>
                <w:sz w:val="24"/>
              </w:rPr>
              <w:t>100mg</w:t>
            </w:r>
            <w:r>
              <w:rPr>
                <w:sz w:val="24"/>
              </w:rPr>
              <w:t>/L</w:t>
            </w:r>
            <w:r>
              <w:rPr>
                <w:rFonts w:hint="eastAsia"/>
                <w:sz w:val="24"/>
              </w:rPr>
              <w:t>；0.027t</w:t>
            </w:r>
            <w:r>
              <w:rPr>
                <w:sz w:val="24"/>
              </w:rPr>
              <w:t>/</w:t>
            </w:r>
            <w:r>
              <w:rPr>
                <w:rFonts w:hint="eastAsia"/>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7" w:hRule="atLeast"/>
        </w:trPr>
        <w:tc>
          <w:tcPr>
            <w:tcW w:w="806" w:type="dxa"/>
            <w:vMerge w:val="continue"/>
            <w:vAlign w:val="center"/>
          </w:tcPr>
          <w:p>
            <w:pPr>
              <w:spacing w:line="360" w:lineRule="auto"/>
              <w:rPr>
                <w:sz w:val="24"/>
              </w:rPr>
            </w:pPr>
          </w:p>
        </w:tc>
        <w:tc>
          <w:tcPr>
            <w:tcW w:w="1409" w:type="dxa"/>
            <w:gridSpan w:val="2"/>
            <w:vMerge w:val="continue"/>
            <w:vAlign w:val="center"/>
          </w:tcPr>
          <w:p>
            <w:pPr>
              <w:spacing w:line="360" w:lineRule="auto"/>
              <w:rPr>
                <w:sz w:val="24"/>
              </w:rPr>
            </w:pPr>
          </w:p>
        </w:tc>
        <w:tc>
          <w:tcPr>
            <w:tcW w:w="1346" w:type="dxa"/>
            <w:vAlign w:val="center"/>
          </w:tcPr>
          <w:p>
            <w:pPr>
              <w:snapToGrid w:val="0"/>
              <w:spacing w:line="360" w:lineRule="auto"/>
              <w:jc w:val="center"/>
              <w:rPr>
                <w:sz w:val="24"/>
              </w:rPr>
            </w:pPr>
            <w:r>
              <w:rPr>
                <w:rFonts w:hint="eastAsia"/>
                <w:sz w:val="24"/>
              </w:rPr>
              <w:t>氨氮</w:t>
            </w:r>
          </w:p>
        </w:tc>
        <w:tc>
          <w:tcPr>
            <w:tcW w:w="2474" w:type="dxa"/>
            <w:vAlign w:val="center"/>
          </w:tcPr>
          <w:p>
            <w:pPr>
              <w:snapToGrid w:val="0"/>
              <w:spacing w:line="360" w:lineRule="auto"/>
              <w:jc w:val="center"/>
              <w:rPr>
                <w:sz w:val="24"/>
              </w:rPr>
            </w:pPr>
            <w:r>
              <w:rPr>
                <w:rFonts w:hint="eastAsia"/>
                <w:sz w:val="24"/>
              </w:rPr>
              <w:t>25mg</w:t>
            </w:r>
            <w:r>
              <w:rPr>
                <w:sz w:val="24"/>
              </w:rPr>
              <w:t>/L</w:t>
            </w:r>
            <w:r>
              <w:rPr>
                <w:rFonts w:hint="eastAsia"/>
                <w:sz w:val="24"/>
              </w:rPr>
              <w:t>；0.007t</w:t>
            </w:r>
            <w:r>
              <w:rPr>
                <w:sz w:val="24"/>
              </w:rPr>
              <w:t>/</w:t>
            </w:r>
            <w:r>
              <w:rPr>
                <w:rFonts w:hint="eastAsia"/>
                <w:sz w:val="24"/>
              </w:rPr>
              <w:t>a</w:t>
            </w:r>
          </w:p>
        </w:tc>
        <w:tc>
          <w:tcPr>
            <w:tcW w:w="2487" w:type="dxa"/>
            <w:vAlign w:val="center"/>
          </w:tcPr>
          <w:p>
            <w:pPr>
              <w:snapToGrid w:val="0"/>
              <w:spacing w:line="360" w:lineRule="auto"/>
              <w:jc w:val="center"/>
              <w:rPr>
                <w:sz w:val="24"/>
              </w:rPr>
            </w:pPr>
            <w:r>
              <w:rPr>
                <w:rFonts w:hint="eastAsia"/>
                <w:sz w:val="24"/>
              </w:rPr>
              <w:t>20mg</w:t>
            </w:r>
            <w:r>
              <w:rPr>
                <w:sz w:val="24"/>
              </w:rPr>
              <w:t>/L</w:t>
            </w:r>
            <w:r>
              <w:rPr>
                <w:rFonts w:hint="eastAsia"/>
                <w:sz w:val="24"/>
              </w:rPr>
              <w:t>；0.005 t</w:t>
            </w:r>
            <w:r>
              <w:rPr>
                <w:sz w:val="24"/>
              </w:rPr>
              <w:t>/</w:t>
            </w:r>
            <w:r>
              <w:rPr>
                <w:rFonts w:hint="eastAsia"/>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trPr>
        <w:tc>
          <w:tcPr>
            <w:tcW w:w="806" w:type="dxa"/>
            <w:vMerge w:val="restart"/>
            <w:vAlign w:val="center"/>
          </w:tcPr>
          <w:p>
            <w:pPr>
              <w:adjustRightInd w:val="0"/>
              <w:snapToGrid w:val="0"/>
              <w:spacing w:line="360" w:lineRule="auto"/>
              <w:jc w:val="center"/>
              <w:rPr>
                <w:b/>
                <w:caps/>
                <w:sz w:val="24"/>
              </w:rPr>
            </w:pPr>
            <w:r>
              <w:rPr>
                <w:rFonts w:hint="eastAsia"/>
                <w:b/>
                <w:caps/>
                <w:sz w:val="24"/>
              </w:rPr>
              <w:t>大</w:t>
            </w:r>
          </w:p>
          <w:p>
            <w:pPr>
              <w:adjustRightInd w:val="0"/>
              <w:snapToGrid w:val="0"/>
              <w:spacing w:line="360" w:lineRule="auto"/>
              <w:jc w:val="center"/>
              <w:rPr>
                <w:b/>
                <w:caps/>
                <w:sz w:val="24"/>
              </w:rPr>
            </w:pPr>
            <w:r>
              <w:rPr>
                <w:rFonts w:hint="eastAsia"/>
                <w:b/>
                <w:caps/>
                <w:sz w:val="24"/>
              </w:rPr>
              <w:t>气</w:t>
            </w:r>
          </w:p>
          <w:p>
            <w:pPr>
              <w:adjustRightInd w:val="0"/>
              <w:snapToGrid w:val="0"/>
              <w:spacing w:line="360" w:lineRule="auto"/>
              <w:jc w:val="center"/>
              <w:rPr>
                <w:b/>
                <w:caps/>
                <w:sz w:val="24"/>
              </w:rPr>
            </w:pPr>
            <w:r>
              <w:rPr>
                <w:rFonts w:hint="eastAsia"/>
                <w:b/>
                <w:caps/>
                <w:sz w:val="24"/>
              </w:rPr>
              <w:t>污</w:t>
            </w:r>
          </w:p>
          <w:p>
            <w:pPr>
              <w:adjustRightInd w:val="0"/>
              <w:snapToGrid w:val="0"/>
              <w:spacing w:line="360" w:lineRule="auto"/>
              <w:jc w:val="center"/>
              <w:rPr>
                <w:b/>
                <w:caps/>
                <w:sz w:val="24"/>
              </w:rPr>
            </w:pPr>
            <w:r>
              <w:rPr>
                <w:rFonts w:hint="eastAsia"/>
                <w:b/>
                <w:caps/>
                <w:sz w:val="24"/>
              </w:rPr>
              <w:t>染</w:t>
            </w:r>
          </w:p>
          <w:p>
            <w:pPr>
              <w:adjustRightInd w:val="0"/>
              <w:snapToGrid w:val="0"/>
              <w:spacing w:line="360" w:lineRule="auto"/>
              <w:jc w:val="center"/>
              <w:rPr>
                <w:sz w:val="24"/>
              </w:rPr>
            </w:pPr>
            <w:r>
              <w:rPr>
                <w:rFonts w:hint="eastAsia"/>
                <w:b/>
                <w:caps/>
                <w:sz w:val="24"/>
              </w:rPr>
              <w:t>物</w:t>
            </w:r>
          </w:p>
        </w:tc>
        <w:tc>
          <w:tcPr>
            <w:tcW w:w="1409" w:type="dxa"/>
            <w:gridSpan w:val="2"/>
            <w:vAlign w:val="center"/>
          </w:tcPr>
          <w:p>
            <w:pPr>
              <w:snapToGrid w:val="0"/>
              <w:spacing w:line="360" w:lineRule="auto"/>
              <w:jc w:val="center"/>
              <w:rPr>
                <w:color w:val="FF0000"/>
                <w:sz w:val="24"/>
              </w:rPr>
            </w:pPr>
            <w:r>
              <w:rPr>
                <w:rFonts w:hint="eastAsia"/>
                <w:color w:val="FF0000"/>
                <w:sz w:val="24"/>
              </w:rPr>
              <w:t>喷粉粉尘</w:t>
            </w:r>
          </w:p>
        </w:tc>
        <w:tc>
          <w:tcPr>
            <w:tcW w:w="1346" w:type="dxa"/>
            <w:vAlign w:val="center"/>
          </w:tcPr>
          <w:p>
            <w:pPr>
              <w:snapToGrid w:val="0"/>
              <w:spacing w:line="360" w:lineRule="auto"/>
              <w:jc w:val="center"/>
              <w:rPr>
                <w:color w:val="FF0000"/>
                <w:sz w:val="24"/>
              </w:rPr>
            </w:pPr>
            <w:r>
              <w:rPr>
                <w:rFonts w:hint="eastAsia"/>
                <w:color w:val="FF0000"/>
                <w:sz w:val="24"/>
              </w:rPr>
              <w:t>粉尘</w:t>
            </w:r>
          </w:p>
        </w:tc>
        <w:tc>
          <w:tcPr>
            <w:tcW w:w="2474" w:type="dxa"/>
            <w:vAlign w:val="center"/>
          </w:tcPr>
          <w:p>
            <w:pPr>
              <w:snapToGrid w:val="0"/>
              <w:spacing w:line="360" w:lineRule="auto"/>
              <w:jc w:val="center"/>
              <w:rPr>
                <w:color w:val="FF0000"/>
                <w:sz w:val="24"/>
              </w:rPr>
            </w:pPr>
            <w:r>
              <w:rPr>
                <w:rFonts w:hint="eastAsia"/>
                <w:color w:val="FF0000"/>
                <w:sz w:val="24"/>
                <w:lang w:val="en-US" w:eastAsia="zh-CN"/>
              </w:rPr>
              <w:t>49</w:t>
            </w:r>
            <w:r>
              <w:rPr>
                <w:rFonts w:hint="eastAsia"/>
                <w:color w:val="FF0000"/>
                <w:sz w:val="24"/>
              </w:rPr>
              <w:t>m</w:t>
            </w:r>
            <w:r>
              <w:rPr>
                <w:rFonts w:hint="eastAsia"/>
                <w:color w:val="FF0000"/>
                <w:sz w:val="24"/>
                <w:lang w:val="zh-CN"/>
              </w:rPr>
              <w:t>g/m</w:t>
            </w:r>
            <w:r>
              <w:rPr>
                <w:rFonts w:hint="eastAsia"/>
                <w:color w:val="FF0000"/>
                <w:sz w:val="24"/>
                <w:vertAlign w:val="superscript"/>
                <w:lang w:val="zh-CN"/>
              </w:rPr>
              <w:t>3</w:t>
            </w:r>
            <w:r>
              <w:rPr>
                <w:rFonts w:hint="eastAsia"/>
                <w:color w:val="FF0000"/>
                <w:sz w:val="24"/>
              </w:rPr>
              <w:t>；</w:t>
            </w:r>
            <w:r>
              <w:rPr>
                <w:rFonts w:hint="eastAsia"/>
                <w:color w:val="FF0000"/>
                <w:sz w:val="24"/>
                <w:lang w:val="en-US" w:eastAsia="zh-CN"/>
              </w:rPr>
              <w:t>2.94</w:t>
            </w:r>
            <w:r>
              <w:rPr>
                <w:rFonts w:hint="eastAsia"/>
                <w:color w:val="FF0000"/>
                <w:sz w:val="24"/>
              </w:rPr>
              <w:t>t/a</w:t>
            </w:r>
          </w:p>
        </w:tc>
        <w:tc>
          <w:tcPr>
            <w:tcW w:w="2487" w:type="dxa"/>
            <w:vAlign w:val="center"/>
          </w:tcPr>
          <w:p>
            <w:pPr>
              <w:snapToGrid w:val="0"/>
              <w:spacing w:line="360" w:lineRule="auto"/>
              <w:jc w:val="center"/>
              <w:rPr>
                <w:color w:val="FF0000"/>
                <w:sz w:val="24"/>
              </w:rPr>
            </w:pPr>
            <w:r>
              <w:rPr>
                <w:rFonts w:hint="eastAsia"/>
                <w:color w:val="FF0000"/>
                <w:sz w:val="24"/>
                <w:lang w:val="en-US" w:eastAsia="zh-CN"/>
              </w:rPr>
              <w:t>2.45</w:t>
            </w:r>
            <w:r>
              <w:rPr>
                <w:rFonts w:hint="eastAsia"/>
                <w:color w:val="FF0000"/>
                <w:sz w:val="24"/>
              </w:rPr>
              <w:t>m</w:t>
            </w:r>
            <w:r>
              <w:rPr>
                <w:rFonts w:hint="eastAsia"/>
                <w:color w:val="FF0000"/>
                <w:sz w:val="24"/>
                <w:lang w:val="zh-CN"/>
              </w:rPr>
              <w:t>g/m</w:t>
            </w:r>
            <w:r>
              <w:rPr>
                <w:rFonts w:hint="eastAsia"/>
                <w:color w:val="FF0000"/>
                <w:sz w:val="24"/>
                <w:vertAlign w:val="superscript"/>
                <w:lang w:val="zh-CN"/>
              </w:rPr>
              <w:t>3</w:t>
            </w:r>
            <w:r>
              <w:rPr>
                <w:rFonts w:hint="eastAsia"/>
                <w:color w:val="FF0000"/>
                <w:sz w:val="24"/>
              </w:rPr>
              <w:t>；0.</w:t>
            </w:r>
            <w:r>
              <w:rPr>
                <w:rFonts w:hint="eastAsia"/>
                <w:color w:val="FF0000"/>
                <w:sz w:val="24"/>
                <w:lang w:val="en-US" w:eastAsia="zh-CN"/>
              </w:rPr>
              <w:t>147</w:t>
            </w:r>
            <w:r>
              <w:rPr>
                <w:rFonts w:hint="eastAsia"/>
                <w:color w:val="FF0000"/>
                <w:sz w:val="24"/>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trPr>
        <w:tc>
          <w:tcPr>
            <w:tcW w:w="806" w:type="dxa"/>
            <w:vMerge w:val="continue"/>
            <w:vAlign w:val="center"/>
          </w:tcPr>
          <w:p>
            <w:pPr>
              <w:spacing w:line="360" w:lineRule="auto"/>
              <w:rPr>
                <w:sz w:val="24"/>
              </w:rPr>
            </w:pPr>
          </w:p>
        </w:tc>
        <w:tc>
          <w:tcPr>
            <w:tcW w:w="1409" w:type="dxa"/>
            <w:gridSpan w:val="2"/>
            <w:vMerge w:val="restart"/>
            <w:vAlign w:val="center"/>
          </w:tcPr>
          <w:p>
            <w:pPr>
              <w:snapToGrid w:val="0"/>
              <w:spacing w:line="360" w:lineRule="auto"/>
              <w:jc w:val="center"/>
              <w:rPr>
                <w:sz w:val="24"/>
              </w:rPr>
            </w:pPr>
            <w:r>
              <w:rPr>
                <w:rFonts w:hint="eastAsia"/>
                <w:sz w:val="24"/>
              </w:rPr>
              <w:t>燃烧废气</w:t>
            </w:r>
          </w:p>
        </w:tc>
        <w:tc>
          <w:tcPr>
            <w:tcW w:w="1346" w:type="dxa"/>
            <w:vAlign w:val="center"/>
          </w:tcPr>
          <w:p>
            <w:pPr>
              <w:spacing w:line="360" w:lineRule="auto"/>
              <w:jc w:val="center"/>
              <w:rPr>
                <w:rFonts w:hint="eastAsia" w:eastAsia="宋体"/>
                <w:sz w:val="24"/>
                <w:lang w:val="en-US" w:eastAsia="zh-CN"/>
              </w:rPr>
            </w:pPr>
            <w:r>
              <w:rPr>
                <w:rFonts w:hint="eastAsia"/>
                <w:sz w:val="24"/>
                <w:lang w:val="en-US" w:eastAsia="zh-CN"/>
              </w:rPr>
              <w:t>烟尘</w:t>
            </w:r>
          </w:p>
        </w:tc>
        <w:tc>
          <w:tcPr>
            <w:tcW w:w="2474" w:type="dxa"/>
            <w:vAlign w:val="center"/>
          </w:tcPr>
          <w:p>
            <w:pPr>
              <w:spacing w:line="360" w:lineRule="auto"/>
              <w:jc w:val="center"/>
              <w:rPr>
                <w:sz w:val="24"/>
              </w:rPr>
            </w:pPr>
            <w:r>
              <w:rPr>
                <w:rFonts w:hint="eastAsia"/>
                <w:kern w:val="0"/>
                <w:sz w:val="24"/>
                <w:lang w:val="en-US" w:eastAsia="zh-CN"/>
              </w:rPr>
              <w:t>22.04</w:t>
            </w:r>
            <w:r>
              <w:rPr>
                <w:rFonts w:hint="eastAsia"/>
                <w:sz w:val="24"/>
                <w:lang w:val="zh-CN"/>
              </w:rPr>
              <w:t>mg/m</w:t>
            </w:r>
            <w:r>
              <w:rPr>
                <w:rFonts w:hint="eastAsia"/>
                <w:sz w:val="24"/>
                <w:vertAlign w:val="superscript"/>
                <w:lang w:val="zh-CN"/>
              </w:rPr>
              <w:t>3</w:t>
            </w:r>
            <w:r>
              <w:rPr>
                <w:rFonts w:hint="eastAsia"/>
                <w:kern w:val="0"/>
                <w:sz w:val="24"/>
              </w:rPr>
              <w:t>；</w:t>
            </w:r>
            <w:r>
              <w:rPr>
                <w:rFonts w:hint="eastAsia"/>
                <w:kern w:val="0"/>
                <w:sz w:val="24"/>
                <w:lang w:val="en-US" w:eastAsia="zh-CN"/>
              </w:rPr>
              <w:t>1.</w:t>
            </w:r>
            <w:r>
              <w:rPr>
                <w:rFonts w:hint="eastAsia"/>
                <w:kern w:val="0"/>
                <w:sz w:val="24"/>
              </w:rPr>
              <w:t>2</w:t>
            </w:r>
            <w:r>
              <w:rPr>
                <w:rFonts w:hint="eastAsia"/>
                <w:kern w:val="0"/>
                <w:sz w:val="24"/>
                <w:lang w:val="en-US" w:eastAsia="zh-CN"/>
              </w:rPr>
              <w:t>kg</w:t>
            </w:r>
            <w:r>
              <w:rPr>
                <w:rFonts w:hint="eastAsia"/>
                <w:kern w:val="0"/>
                <w:sz w:val="24"/>
              </w:rPr>
              <w:t>/a</w:t>
            </w:r>
          </w:p>
        </w:tc>
        <w:tc>
          <w:tcPr>
            <w:tcW w:w="2487" w:type="dxa"/>
            <w:vAlign w:val="center"/>
          </w:tcPr>
          <w:p>
            <w:pPr>
              <w:spacing w:line="360" w:lineRule="auto"/>
              <w:jc w:val="center"/>
              <w:rPr>
                <w:sz w:val="24"/>
              </w:rPr>
            </w:pPr>
            <w:r>
              <w:rPr>
                <w:rFonts w:hint="eastAsia"/>
                <w:kern w:val="0"/>
                <w:sz w:val="24"/>
                <w:lang w:val="en-US" w:eastAsia="zh-CN"/>
              </w:rPr>
              <w:t>22.04</w:t>
            </w:r>
            <w:r>
              <w:rPr>
                <w:rFonts w:hint="eastAsia"/>
                <w:sz w:val="24"/>
                <w:lang w:val="zh-CN"/>
              </w:rPr>
              <w:t>mg/m</w:t>
            </w:r>
            <w:r>
              <w:rPr>
                <w:rFonts w:hint="eastAsia"/>
                <w:sz w:val="24"/>
                <w:vertAlign w:val="superscript"/>
                <w:lang w:val="zh-CN"/>
              </w:rPr>
              <w:t>3</w:t>
            </w:r>
            <w:r>
              <w:rPr>
                <w:rFonts w:hint="eastAsia"/>
                <w:kern w:val="0"/>
                <w:sz w:val="24"/>
              </w:rPr>
              <w:t>；</w:t>
            </w:r>
            <w:r>
              <w:rPr>
                <w:rFonts w:hint="eastAsia"/>
                <w:kern w:val="0"/>
                <w:sz w:val="24"/>
                <w:lang w:val="en-US" w:eastAsia="zh-CN"/>
              </w:rPr>
              <w:t>1.</w:t>
            </w:r>
            <w:r>
              <w:rPr>
                <w:rFonts w:hint="eastAsia"/>
                <w:kern w:val="0"/>
                <w:sz w:val="24"/>
              </w:rPr>
              <w:t>2</w:t>
            </w:r>
            <w:r>
              <w:rPr>
                <w:rFonts w:hint="eastAsia"/>
                <w:kern w:val="0"/>
                <w:sz w:val="24"/>
                <w:lang w:val="en-US" w:eastAsia="zh-CN"/>
              </w:rPr>
              <w:t>kg</w:t>
            </w:r>
            <w:r>
              <w:rPr>
                <w:rFonts w:hint="eastAsia"/>
                <w:kern w:val="0"/>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trPr>
        <w:tc>
          <w:tcPr>
            <w:tcW w:w="806" w:type="dxa"/>
            <w:vMerge w:val="continue"/>
            <w:vAlign w:val="center"/>
          </w:tcPr>
          <w:p>
            <w:pPr>
              <w:spacing w:line="360" w:lineRule="auto"/>
              <w:rPr>
                <w:sz w:val="24"/>
              </w:rPr>
            </w:pPr>
          </w:p>
        </w:tc>
        <w:tc>
          <w:tcPr>
            <w:tcW w:w="1409" w:type="dxa"/>
            <w:gridSpan w:val="2"/>
            <w:vMerge w:val="continue"/>
            <w:vAlign w:val="center"/>
          </w:tcPr>
          <w:p>
            <w:pPr>
              <w:snapToGrid w:val="0"/>
              <w:spacing w:line="360" w:lineRule="auto"/>
              <w:jc w:val="center"/>
              <w:rPr>
                <w:sz w:val="24"/>
              </w:rPr>
            </w:pPr>
          </w:p>
        </w:tc>
        <w:tc>
          <w:tcPr>
            <w:tcW w:w="1346" w:type="dxa"/>
            <w:vAlign w:val="center"/>
          </w:tcPr>
          <w:p>
            <w:pPr>
              <w:spacing w:line="360" w:lineRule="auto"/>
              <w:jc w:val="center"/>
              <w:rPr>
                <w:sz w:val="24"/>
              </w:rPr>
            </w:pPr>
            <w:r>
              <w:rPr>
                <w:rFonts w:hint="eastAsia"/>
                <w:sz w:val="24"/>
              </w:rPr>
              <w:t>SO</w:t>
            </w:r>
            <w:r>
              <w:rPr>
                <w:rFonts w:hint="eastAsia"/>
                <w:sz w:val="24"/>
                <w:vertAlign w:val="subscript"/>
              </w:rPr>
              <w:t>2</w:t>
            </w:r>
          </w:p>
        </w:tc>
        <w:tc>
          <w:tcPr>
            <w:tcW w:w="2474" w:type="dxa"/>
            <w:vAlign w:val="center"/>
          </w:tcPr>
          <w:p>
            <w:pPr>
              <w:spacing w:line="360" w:lineRule="auto"/>
              <w:jc w:val="center"/>
              <w:rPr>
                <w:sz w:val="24"/>
              </w:rPr>
            </w:pPr>
            <w:r>
              <w:rPr>
                <w:rFonts w:hint="eastAsia"/>
                <w:sz w:val="24"/>
                <w:lang w:val="zh-CN" w:eastAsia="zh-CN"/>
              </w:rPr>
              <w:t>0.09</w:t>
            </w:r>
            <w:r>
              <w:rPr>
                <w:rFonts w:hint="eastAsia"/>
                <w:sz w:val="24"/>
                <w:lang w:val="zh-CN"/>
              </w:rPr>
              <w:t>mg/m</w:t>
            </w:r>
            <w:r>
              <w:rPr>
                <w:rFonts w:hint="eastAsia"/>
                <w:sz w:val="24"/>
                <w:vertAlign w:val="superscript"/>
                <w:lang w:val="zh-CN"/>
              </w:rPr>
              <w:t>3</w:t>
            </w:r>
            <w:r>
              <w:rPr>
                <w:rFonts w:hint="eastAsia"/>
                <w:kern w:val="0"/>
                <w:sz w:val="24"/>
              </w:rPr>
              <w:t>；</w:t>
            </w:r>
            <w:r>
              <w:rPr>
                <w:rFonts w:hint="eastAsia"/>
                <w:kern w:val="0"/>
                <w:sz w:val="24"/>
                <w:lang w:val="en-US" w:eastAsia="zh-CN"/>
              </w:rPr>
              <w:t>0.005kg</w:t>
            </w:r>
            <w:r>
              <w:rPr>
                <w:rFonts w:hint="eastAsia"/>
                <w:kern w:val="0"/>
                <w:sz w:val="24"/>
              </w:rPr>
              <w:t>/a</w:t>
            </w:r>
          </w:p>
        </w:tc>
        <w:tc>
          <w:tcPr>
            <w:tcW w:w="2487" w:type="dxa"/>
            <w:vAlign w:val="center"/>
          </w:tcPr>
          <w:p>
            <w:pPr>
              <w:spacing w:line="360" w:lineRule="auto"/>
              <w:jc w:val="center"/>
              <w:rPr>
                <w:sz w:val="24"/>
              </w:rPr>
            </w:pPr>
            <w:r>
              <w:rPr>
                <w:rFonts w:hint="eastAsia"/>
                <w:sz w:val="24"/>
                <w:lang w:val="zh-CN" w:eastAsia="zh-CN"/>
              </w:rPr>
              <w:t>0.09</w:t>
            </w:r>
            <w:r>
              <w:rPr>
                <w:rFonts w:hint="eastAsia"/>
                <w:sz w:val="24"/>
                <w:lang w:val="zh-CN"/>
              </w:rPr>
              <w:t>mg/m</w:t>
            </w:r>
            <w:r>
              <w:rPr>
                <w:rFonts w:hint="eastAsia"/>
                <w:sz w:val="24"/>
                <w:vertAlign w:val="superscript"/>
                <w:lang w:val="zh-CN"/>
              </w:rPr>
              <w:t>3</w:t>
            </w:r>
            <w:r>
              <w:rPr>
                <w:rFonts w:hint="eastAsia"/>
                <w:kern w:val="0"/>
                <w:sz w:val="24"/>
              </w:rPr>
              <w:t>；</w:t>
            </w:r>
            <w:r>
              <w:rPr>
                <w:rFonts w:hint="eastAsia"/>
                <w:kern w:val="0"/>
                <w:sz w:val="24"/>
                <w:lang w:val="en-US" w:eastAsia="zh-CN"/>
              </w:rPr>
              <w:t>0.005kg</w:t>
            </w:r>
            <w:r>
              <w:rPr>
                <w:rFonts w:hint="eastAsia"/>
                <w:kern w:val="0"/>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trPr>
        <w:tc>
          <w:tcPr>
            <w:tcW w:w="806" w:type="dxa"/>
            <w:vMerge w:val="continue"/>
            <w:vAlign w:val="center"/>
          </w:tcPr>
          <w:p>
            <w:pPr>
              <w:spacing w:line="360" w:lineRule="auto"/>
              <w:rPr>
                <w:sz w:val="24"/>
              </w:rPr>
            </w:pPr>
          </w:p>
        </w:tc>
        <w:tc>
          <w:tcPr>
            <w:tcW w:w="1409" w:type="dxa"/>
            <w:gridSpan w:val="2"/>
            <w:vMerge w:val="continue"/>
            <w:vAlign w:val="center"/>
          </w:tcPr>
          <w:p>
            <w:pPr>
              <w:snapToGrid w:val="0"/>
              <w:spacing w:line="360" w:lineRule="auto"/>
              <w:jc w:val="center"/>
              <w:rPr>
                <w:sz w:val="24"/>
              </w:rPr>
            </w:pPr>
          </w:p>
        </w:tc>
        <w:tc>
          <w:tcPr>
            <w:tcW w:w="1346" w:type="dxa"/>
            <w:vAlign w:val="center"/>
          </w:tcPr>
          <w:p>
            <w:pPr>
              <w:spacing w:line="360" w:lineRule="auto"/>
              <w:jc w:val="center"/>
              <w:rPr>
                <w:rFonts w:hint="eastAsia"/>
                <w:sz w:val="24"/>
              </w:rPr>
            </w:pPr>
            <w:r>
              <w:rPr>
                <w:rFonts w:hint="eastAsia"/>
                <w:sz w:val="24"/>
              </w:rPr>
              <w:t>NO</w:t>
            </w:r>
            <w:r>
              <w:rPr>
                <w:rFonts w:hint="eastAsia"/>
                <w:sz w:val="24"/>
                <w:vertAlign w:val="subscript"/>
              </w:rPr>
              <w:t>X</w:t>
            </w:r>
          </w:p>
        </w:tc>
        <w:tc>
          <w:tcPr>
            <w:tcW w:w="2474" w:type="dxa"/>
            <w:vAlign w:val="center"/>
          </w:tcPr>
          <w:p>
            <w:pPr>
              <w:spacing w:line="360" w:lineRule="auto"/>
              <w:jc w:val="center"/>
              <w:rPr>
                <w:color w:val="000000"/>
                <w:sz w:val="24"/>
              </w:rPr>
            </w:pPr>
            <w:r>
              <w:rPr>
                <w:rFonts w:hint="eastAsia"/>
                <w:color w:val="000000"/>
                <w:sz w:val="24"/>
                <w:lang w:val="en-US" w:eastAsia="zh-CN"/>
              </w:rPr>
              <w:t>57.85</w:t>
            </w:r>
            <w:r>
              <w:rPr>
                <w:rFonts w:hint="eastAsia"/>
                <w:sz w:val="24"/>
                <w:lang w:val="zh-CN"/>
              </w:rPr>
              <w:t>mg/m</w:t>
            </w:r>
            <w:r>
              <w:rPr>
                <w:rFonts w:hint="eastAsia"/>
                <w:sz w:val="24"/>
                <w:vertAlign w:val="superscript"/>
                <w:lang w:val="zh-CN"/>
              </w:rPr>
              <w:t>3</w:t>
            </w:r>
            <w:r>
              <w:rPr>
                <w:rFonts w:hint="eastAsia"/>
                <w:kern w:val="0"/>
                <w:sz w:val="24"/>
              </w:rPr>
              <w:t>；</w:t>
            </w:r>
            <w:r>
              <w:rPr>
                <w:rFonts w:hint="eastAsia"/>
                <w:kern w:val="0"/>
                <w:sz w:val="24"/>
                <w:lang w:val="en-US" w:eastAsia="zh-CN"/>
              </w:rPr>
              <w:t>3.15kg</w:t>
            </w:r>
            <w:r>
              <w:rPr>
                <w:rFonts w:hint="eastAsia"/>
                <w:kern w:val="0"/>
                <w:sz w:val="24"/>
              </w:rPr>
              <w:t>/a</w:t>
            </w:r>
          </w:p>
        </w:tc>
        <w:tc>
          <w:tcPr>
            <w:tcW w:w="2487" w:type="dxa"/>
            <w:vAlign w:val="center"/>
          </w:tcPr>
          <w:p>
            <w:pPr>
              <w:spacing w:line="360" w:lineRule="auto"/>
              <w:jc w:val="center"/>
              <w:rPr>
                <w:color w:val="000000"/>
                <w:sz w:val="24"/>
              </w:rPr>
            </w:pPr>
            <w:r>
              <w:rPr>
                <w:rFonts w:hint="eastAsia"/>
                <w:color w:val="000000"/>
                <w:sz w:val="24"/>
                <w:lang w:val="en-US" w:eastAsia="zh-CN"/>
              </w:rPr>
              <w:t>57.85</w:t>
            </w:r>
            <w:r>
              <w:rPr>
                <w:rFonts w:hint="eastAsia"/>
                <w:sz w:val="24"/>
                <w:lang w:val="zh-CN"/>
              </w:rPr>
              <w:t>mg/m</w:t>
            </w:r>
            <w:r>
              <w:rPr>
                <w:rFonts w:hint="eastAsia"/>
                <w:sz w:val="24"/>
                <w:vertAlign w:val="superscript"/>
                <w:lang w:val="zh-CN"/>
              </w:rPr>
              <w:t>3</w:t>
            </w:r>
            <w:r>
              <w:rPr>
                <w:rFonts w:hint="eastAsia"/>
                <w:kern w:val="0"/>
                <w:sz w:val="24"/>
              </w:rPr>
              <w:t>；</w:t>
            </w:r>
            <w:r>
              <w:rPr>
                <w:rFonts w:hint="eastAsia"/>
                <w:kern w:val="0"/>
                <w:sz w:val="24"/>
                <w:lang w:val="en-US" w:eastAsia="zh-CN"/>
              </w:rPr>
              <w:t>3.15kg</w:t>
            </w:r>
            <w:r>
              <w:rPr>
                <w:rFonts w:hint="eastAsia"/>
                <w:kern w:val="0"/>
                <w:sz w:val="24"/>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806" w:type="dxa"/>
            <w:vMerge w:val="continue"/>
            <w:vAlign w:val="center"/>
          </w:tcPr>
          <w:p>
            <w:pPr>
              <w:spacing w:line="360" w:lineRule="auto"/>
              <w:rPr>
                <w:sz w:val="24"/>
              </w:rPr>
            </w:pPr>
          </w:p>
        </w:tc>
        <w:tc>
          <w:tcPr>
            <w:tcW w:w="696" w:type="dxa"/>
            <w:vMerge w:val="restart"/>
            <w:vAlign w:val="center"/>
          </w:tcPr>
          <w:p>
            <w:pPr>
              <w:snapToGrid w:val="0"/>
              <w:spacing w:line="240" w:lineRule="auto"/>
              <w:jc w:val="center"/>
              <w:rPr>
                <w:rFonts w:hint="default" w:eastAsia="宋体"/>
                <w:color w:val="FF0000"/>
                <w:sz w:val="24"/>
                <w:lang w:val="en-US" w:eastAsia="zh-CN"/>
              </w:rPr>
            </w:pPr>
            <w:r>
              <w:rPr>
                <w:rFonts w:hint="eastAsia"/>
                <w:color w:val="FF0000"/>
                <w:sz w:val="24"/>
                <w:lang w:val="en-US" w:eastAsia="zh-CN"/>
              </w:rPr>
              <w:t>固化废气</w:t>
            </w:r>
          </w:p>
        </w:tc>
        <w:tc>
          <w:tcPr>
            <w:tcW w:w="713" w:type="dxa"/>
            <w:vAlign w:val="center"/>
          </w:tcPr>
          <w:p>
            <w:pPr>
              <w:snapToGrid w:val="0"/>
              <w:spacing w:line="240" w:lineRule="auto"/>
              <w:jc w:val="center"/>
              <w:rPr>
                <w:color w:val="FF0000"/>
                <w:sz w:val="24"/>
              </w:rPr>
            </w:pPr>
            <w:r>
              <w:rPr>
                <w:color w:val="FF0000"/>
                <w:sz w:val="24"/>
              </w:rPr>
              <w:t>有组织</w:t>
            </w:r>
          </w:p>
        </w:tc>
        <w:tc>
          <w:tcPr>
            <w:tcW w:w="1346" w:type="dxa"/>
            <w:vMerge w:val="restart"/>
            <w:vAlign w:val="center"/>
          </w:tcPr>
          <w:p>
            <w:pPr>
              <w:snapToGrid w:val="0"/>
              <w:spacing w:line="240" w:lineRule="auto"/>
              <w:jc w:val="center"/>
              <w:rPr>
                <w:color w:val="FF0000"/>
                <w:sz w:val="24"/>
              </w:rPr>
            </w:pPr>
            <w:r>
              <w:rPr>
                <w:color w:val="FF0000"/>
                <w:sz w:val="24"/>
              </w:rPr>
              <w:t>VOCs</w:t>
            </w:r>
          </w:p>
        </w:tc>
        <w:tc>
          <w:tcPr>
            <w:tcW w:w="2474" w:type="dxa"/>
            <w:vAlign w:val="center"/>
          </w:tcPr>
          <w:p>
            <w:pPr>
              <w:snapToGrid w:val="0"/>
              <w:spacing w:line="240" w:lineRule="auto"/>
              <w:jc w:val="center"/>
              <w:rPr>
                <w:color w:val="FF0000"/>
                <w:sz w:val="24"/>
              </w:rPr>
            </w:pPr>
            <w:r>
              <w:rPr>
                <w:rFonts w:hint="eastAsia"/>
                <w:color w:val="FF0000"/>
                <w:sz w:val="24"/>
                <w:lang w:val="en-US" w:eastAsia="zh-CN"/>
              </w:rPr>
              <w:t>3</w:t>
            </w:r>
            <w:r>
              <w:rPr>
                <w:rFonts w:hint="eastAsia"/>
                <w:color w:val="FF0000"/>
                <w:sz w:val="24"/>
                <w:lang w:val="zh-CN"/>
              </w:rPr>
              <w:t>mg/m</w:t>
            </w:r>
            <w:r>
              <w:rPr>
                <w:rFonts w:hint="eastAsia"/>
                <w:color w:val="FF0000"/>
                <w:sz w:val="24"/>
                <w:vertAlign w:val="superscript"/>
                <w:lang w:val="zh-CN"/>
              </w:rPr>
              <w:t>3</w:t>
            </w:r>
            <w:r>
              <w:rPr>
                <w:rFonts w:hint="eastAsia"/>
                <w:color w:val="FF0000"/>
                <w:sz w:val="24"/>
                <w:lang w:val="zh-CN"/>
              </w:rPr>
              <w:t>；</w:t>
            </w:r>
            <w:r>
              <w:rPr>
                <w:rFonts w:hint="eastAsia"/>
                <w:color w:val="FF0000"/>
                <w:sz w:val="24"/>
              </w:rPr>
              <w:t>0.</w:t>
            </w:r>
            <w:r>
              <w:rPr>
                <w:rFonts w:hint="eastAsia"/>
                <w:color w:val="FF0000"/>
                <w:sz w:val="24"/>
                <w:lang w:val="en-US" w:eastAsia="zh-CN"/>
              </w:rPr>
              <w:t>108</w:t>
            </w:r>
            <w:r>
              <w:rPr>
                <w:rFonts w:hint="eastAsia"/>
                <w:color w:val="FF0000"/>
                <w:sz w:val="24"/>
              </w:rPr>
              <w:t>t/a</w:t>
            </w:r>
          </w:p>
        </w:tc>
        <w:tc>
          <w:tcPr>
            <w:tcW w:w="2487" w:type="dxa"/>
            <w:vAlign w:val="center"/>
          </w:tcPr>
          <w:p>
            <w:pPr>
              <w:snapToGrid w:val="0"/>
              <w:spacing w:line="240" w:lineRule="auto"/>
              <w:jc w:val="center"/>
              <w:rPr>
                <w:color w:val="FF0000"/>
                <w:sz w:val="24"/>
              </w:rPr>
            </w:pPr>
            <w:r>
              <w:rPr>
                <w:rFonts w:hint="eastAsia"/>
                <w:color w:val="FF0000"/>
                <w:sz w:val="24"/>
                <w:lang w:val="en-US" w:eastAsia="zh-CN"/>
              </w:rPr>
              <w:t>0.3</w:t>
            </w:r>
            <w:r>
              <w:rPr>
                <w:rFonts w:hint="eastAsia"/>
                <w:color w:val="FF0000"/>
                <w:sz w:val="24"/>
                <w:lang w:val="zh-CN"/>
              </w:rPr>
              <w:t>mg/m</w:t>
            </w:r>
            <w:r>
              <w:rPr>
                <w:rFonts w:hint="eastAsia"/>
                <w:color w:val="FF0000"/>
                <w:sz w:val="24"/>
                <w:vertAlign w:val="superscript"/>
                <w:lang w:val="zh-CN"/>
              </w:rPr>
              <w:t>3</w:t>
            </w:r>
            <w:r>
              <w:rPr>
                <w:rFonts w:hint="eastAsia"/>
                <w:color w:val="FF0000"/>
                <w:sz w:val="24"/>
                <w:lang w:val="zh-CN"/>
              </w:rPr>
              <w:t>；</w:t>
            </w:r>
            <w:r>
              <w:rPr>
                <w:rFonts w:hint="eastAsia"/>
                <w:color w:val="FF0000"/>
                <w:sz w:val="24"/>
              </w:rPr>
              <w:t>0.0</w:t>
            </w:r>
            <w:r>
              <w:rPr>
                <w:rFonts w:hint="eastAsia"/>
                <w:color w:val="FF0000"/>
                <w:sz w:val="24"/>
                <w:lang w:val="en-US" w:eastAsia="zh-CN"/>
              </w:rPr>
              <w:t>108</w:t>
            </w:r>
            <w:r>
              <w:rPr>
                <w:rFonts w:hint="eastAsia"/>
                <w:color w:val="FF0000"/>
                <w:sz w:val="24"/>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806" w:type="dxa"/>
            <w:vMerge w:val="continue"/>
            <w:vAlign w:val="center"/>
          </w:tcPr>
          <w:p>
            <w:pPr>
              <w:spacing w:line="360" w:lineRule="auto"/>
              <w:rPr>
                <w:sz w:val="24"/>
              </w:rPr>
            </w:pPr>
          </w:p>
        </w:tc>
        <w:tc>
          <w:tcPr>
            <w:tcW w:w="696" w:type="dxa"/>
            <w:vMerge w:val="continue"/>
            <w:vAlign w:val="center"/>
          </w:tcPr>
          <w:p>
            <w:pPr>
              <w:snapToGrid w:val="0"/>
              <w:spacing w:line="240" w:lineRule="auto"/>
              <w:jc w:val="center"/>
              <w:rPr>
                <w:color w:val="FF0000"/>
                <w:sz w:val="24"/>
              </w:rPr>
            </w:pPr>
          </w:p>
        </w:tc>
        <w:tc>
          <w:tcPr>
            <w:tcW w:w="713" w:type="dxa"/>
            <w:vAlign w:val="center"/>
          </w:tcPr>
          <w:p>
            <w:pPr>
              <w:snapToGrid w:val="0"/>
              <w:spacing w:line="240" w:lineRule="auto"/>
              <w:jc w:val="center"/>
              <w:rPr>
                <w:color w:val="FF0000"/>
                <w:sz w:val="24"/>
              </w:rPr>
            </w:pPr>
            <w:r>
              <w:rPr>
                <w:color w:val="FF0000"/>
                <w:sz w:val="24"/>
              </w:rPr>
              <w:t>无组织</w:t>
            </w:r>
          </w:p>
        </w:tc>
        <w:tc>
          <w:tcPr>
            <w:tcW w:w="1346" w:type="dxa"/>
            <w:vMerge w:val="continue"/>
            <w:vAlign w:val="center"/>
          </w:tcPr>
          <w:p>
            <w:pPr>
              <w:snapToGrid w:val="0"/>
              <w:spacing w:line="240" w:lineRule="auto"/>
              <w:jc w:val="center"/>
              <w:rPr>
                <w:color w:val="FF0000"/>
                <w:sz w:val="24"/>
              </w:rPr>
            </w:pPr>
          </w:p>
        </w:tc>
        <w:tc>
          <w:tcPr>
            <w:tcW w:w="2474" w:type="dxa"/>
            <w:vAlign w:val="center"/>
          </w:tcPr>
          <w:p>
            <w:pPr>
              <w:snapToGrid w:val="0"/>
              <w:spacing w:line="240" w:lineRule="auto"/>
              <w:jc w:val="center"/>
              <w:rPr>
                <w:color w:val="FF0000"/>
                <w:sz w:val="24"/>
              </w:rPr>
            </w:pPr>
            <w:r>
              <w:rPr>
                <w:rFonts w:hint="eastAsia"/>
                <w:color w:val="FF0000"/>
                <w:sz w:val="24"/>
              </w:rPr>
              <w:t>0.0</w:t>
            </w:r>
            <w:r>
              <w:rPr>
                <w:rFonts w:hint="eastAsia"/>
                <w:color w:val="FF0000"/>
                <w:sz w:val="24"/>
                <w:lang w:val="en-US" w:eastAsia="zh-CN"/>
              </w:rPr>
              <w:t>12</w:t>
            </w:r>
            <w:r>
              <w:rPr>
                <w:rFonts w:hint="eastAsia"/>
                <w:color w:val="FF0000"/>
                <w:sz w:val="24"/>
              </w:rPr>
              <w:t>t/a</w:t>
            </w:r>
          </w:p>
        </w:tc>
        <w:tc>
          <w:tcPr>
            <w:tcW w:w="2487" w:type="dxa"/>
            <w:vAlign w:val="center"/>
          </w:tcPr>
          <w:p>
            <w:pPr>
              <w:snapToGrid w:val="0"/>
              <w:spacing w:line="240" w:lineRule="auto"/>
              <w:jc w:val="center"/>
              <w:rPr>
                <w:color w:val="FF0000"/>
                <w:sz w:val="24"/>
              </w:rPr>
            </w:pPr>
            <w:r>
              <w:rPr>
                <w:rFonts w:hint="eastAsia"/>
                <w:color w:val="FF0000"/>
                <w:sz w:val="24"/>
              </w:rPr>
              <w:t>0.0</w:t>
            </w:r>
            <w:r>
              <w:rPr>
                <w:rFonts w:hint="eastAsia"/>
                <w:color w:val="FF0000"/>
                <w:sz w:val="24"/>
                <w:lang w:val="en-US" w:eastAsia="zh-CN"/>
              </w:rPr>
              <w:t>12</w:t>
            </w:r>
            <w:r>
              <w:rPr>
                <w:rFonts w:hint="eastAsia"/>
                <w:color w:val="FF0000"/>
                <w:sz w:val="24"/>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9" w:hRule="atLeast"/>
        </w:trPr>
        <w:tc>
          <w:tcPr>
            <w:tcW w:w="806" w:type="dxa"/>
            <w:vMerge w:val="restart"/>
            <w:vAlign w:val="center"/>
          </w:tcPr>
          <w:p>
            <w:pPr>
              <w:adjustRightInd w:val="0"/>
              <w:snapToGrid w:val="0"/>
              <w:spacing w:line="360" w:lineRule="auto"/>
              <w:jc w:val="center"/>
              <w:rPr>
                <w:sz w:val="24"/>
              </w:rPr>
            </w:pPr>
            <w:r>
              <w:rPr>
                <w:rFonts w:hint="eastAsia"/>
                <w:b/>
                <w:sz w:val="24"/>
              </w:rPr>
              <w:t>固体废物</w:t>
            </w:r>
          </w:p>
        </w:tc>
        <w:tc>
          <w:tcPr>
            <w:tcW w:w="1409" w:type="dxa"/>
            <w:gridSpan w:val="2"/>
            <w:vAlign w:val="center"/>
          </w:tcPr>
          <w:p>
            <w:pPr>
              <w:spacing w:line="360" w:lineRule="auto"/>
              <w:jc w:val="center"/>
              <w:rPr>
                <w:sz w:val="24"/>
              </w:rPr>
            </w:pPr>
            <w:r>
              <w:rPr>
                <w:rFonts w:hint="eastAsia"/>
                <w:sz w:val="24"/>
              </w:rPr>
              <w:t>办公垃圾</w:t>
            </w:r>
          </w:p>
        </w:tc>
        <w:tc>
          <w:tcPr>
            <w:tcW w:w="1346" w:type="dxa"/>
            <w:vAlign w:val="center"/>
          </w:tcPr>
          <w:p>
            <w:pPr>
              <w:spacing w:line="360" w:lineRule="auto"/>
              <w:jc w:val="center"/>
              <w:rPr>
                <w:sz w:val="24"/>
              </w:rPr>
            </w:pPr>
            <w:r>
              <w:rPr>
                <w:rFonts w:hint="eastAsia"/>
                <w:sz w:val="24"/>
              </w:rPr>
              <w:t>生活垃圾</w:t>
            </w:r>
          </w:p>
        </w:tc>
        <w:tc>
          <w:tcPr>
            <w:tcW w:w="2474" w:type="dxa"/>
            <w:vAlign w:val="center"/>
          </w:tcPr>
          <w:p>
            <w:pPr>
              <w:spacing w:line="360" w:lineRule="auto"/>
              <w:jc w:val="center"/>
              <w:rPr>
                <w:sz w:val="24"/>
              </w:rPr>
            </w:pPr>
            <w:r>
              <w:rPr>
                <w:sz w:val="24"/>
              </w:rPr>
              <w:t>3.75 t/a</w:t>
            </w:r>
          </w:p>
        </w:tc>
        <w:tc>
          <w:tcPr>
            <w:tcW w:w="2487" w:type="dxa"/>
            <w:vAlign w:val="center"/>
          </w:tcPr>
          <w:p>
            <w:pPr>
              <w:snapToGrid w:val="0"/>
              <w:spacing w:line="360" w:lineRule="auto"/>
              <w:jc w:val="center"/>
              <w:rPr>
                <w:sz w:val="24"/>
              </w:rPr>
            </w:pPr>
            <w:r>
              <w:rPr>
                <w:rFonts w:hint="eastAsia"/>
                <w:sz w:val="24"/>
              </w:rPr>
              <w:t>0</w:t>
            </w:r>
            <w:r>
              <w:rPr>
                <w:sz w:val="24"/>
              </w:rPr>
              <w:t xml:space="preserve">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9" w:hRule="atLeast"/>
        </w:trPr>
        <w:tc>
          <w:tcPr>
            <w:tcW w:w="806" w:type="dxa"/>
            <w:vMerge w:val="continue"/>
            <w:vAlign w:val="center"/>
          </w:tcPr>
          <w:p>
            <w:pPr>
              <w:spacing w:line="360" w:lineRule="auto"/>
              <w:rPr>
                <w:sz w:val="24"/>
              </w:rPr>
            </w:pPr>
          </w:p>
        </w:tc>
        <w:tc>
          <w:tcPr>
            <w:tcW w:w="1409" w:type="dxa"/>
            <w:gridSpan w:val="2"/>
            <w:vAlign w:val="center"/>
          </w:tcPr>
          <w:p>
            <w:pPr>
              <w:spacing w:line="360" w:lineRule="auto"/>
              <w:jc w:val="center"/>
              <w:rPr>
                <w:sz w:val="24"/>
              </w:rPr>
            </w:pPr>
            <w:r>
              <w:rPr>
                <w:rFonts w:hint="eastAsia"/>
                <w:sz w:val="24"/>
              </w:rPr>
              <w:t>一般固废</w:t>
            </w:r>
          </w:p>
        </w:tc>
        <w:tc>
          <w:tcPr>
            <w:tcW w:w="1346" w:type="dxa"/>
            <w:vAlign w:val="center"/>
          </w:tcPr>
          <w:p>
            <w:pPr>
              <w:adjustRightInd w:val="0"/>
              <w:spacing w:line="360" w:lineRule="auto"/>
              <w:jc w:val="center"/>
              <w:rPr>
                <w:sz w:val="24"/>
              </w:rPr>
            </w:pPr>
            <w:r>
              <w:rPr>
                <w:sz w:val="24"/>
              </w:rPr>
              <w:t>包装废物</w:t>
            </w:r>
          </w:p>
        </w:tc>
        <w:tc>
          <w:tcPr>
            <w:tcW w:w="2474" w:type="dxa"/>
            <w:vAlign w:val="center"/>
          </w:tcPr>
          <w:p>
            <w:pPr>
              <w:spacing w:line="360" w:lineRule="auto"/>
              <w:jc w:val="center"/>
              <w:rPr>
                <w:sz w:val="24"/>
              </w:rPr>
            </w:pPr>
            <w:r>
              <w:rPr>
                <w:rFonts w:hint="eastAsia"/>
                <w:sz w:val="24"/>
              </w:rPr>
              <w:t>2</w:t>
            </w:r>
            <w:r>
              <w:rPr>
                <w:sz w:val="24"/>
              </w:rPr>
              <w:t xml:space="preserve"> t/a</w:t>
            </w:r>
          </w:p>
        </w:tc>
        <w:tc>
          <w:tcPr>
            <w:tcW w:w="2487" w:type="dxa"/>
            <w:vAlign w:val="center"/>
          </w:tcPr>
          <w:p>
            <w:pPr>
              <w:snapToGrid w:val="0"/>
              <w:spacing w:line="360" w:lineRule="auto"/>
              <w:jc w:val="center"/>
              <w:rPr>
                <w:sz w:val="24"/>
              </w:rPr>
            </w:pPr>
            <w:r>
              <w:rPr>
                <w:rFonts w:hint="eastAsia"/>
                <w:sz w:val="24"/>
              </w:rPr>
              <w:t>0</w:t>
            </w:r>
            <w:r>
              <w:rPr>
                <w:sz w:val="24"/>
              </w:rPr>
              <w:t xml:space="preserve">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9" w:hRule="atLeast"/>
        </w:trPr>
        <w:tc>
          <w:tcPr>
            <w:tcW w:w="806" w:type="dxa"/>
            <w:vMerge w:val="continue"/>
            <w:vAlign w:val="center"/>
          </w:tcPr>
          <w:p>
            <w:pPr>
              <w:spacing w:line="360" w:lineRule="auto"/>
              <w:rPr>
                <w:sz w:val="24"/>
              </w:rPr>
            </w:pPr>
          </w:p>
        </w:tc>
        <w:tc>
          <w:tcPr>
            <w:tcW w:w="1409" w:type="dxa"/>
            <w:gridSpan w:val="2"/>
            <w:vMerge w:val="restart"/>
            <w:vAlign w:val="center"/>
          </w:tcPr>
          <w:p>
            <w:pPr>
              <w:spacing w:line="360" w:lineRule="auto"/>
              <w:jc w:val="center"/>
              <w:rPr>
                <w:sz w:val="24"/>
              </w:rPr>
            </w:pPr>
            <w:r>
              <w:rPr>
                <w:rFonts w:hint="eastAsia"/>
                <w:sz w:val="24"/>
              </w:rPr>
              <w:t>危废</w:t>
            </w:r>
          </w:p>
        </w:tc>
        <w:tc>
          <w:tcPr>
            <w:tcW w:w="1346" w:type="dxa"/>
            <w:vAlign w:val="center"/>
          </w:tcPr>
          <w:p>
            <w:pPr>
              <w:spacing w:line="360" w:lineRule="auto"/>
              <w:jc w:val="center"/>
              <w:rPr>
                <w:sz w:val="24"/>
              </w:rPr>
            </w:pPr>
            <w:r>
              <w:rPr>
                <w:sz w:val="24"/>
              </w:rPr>
              <w:t>废UV灯管</w:t>
            </w:r>
          </w:p>
        </w:tc>
        <w:tc>
          <w:tcPr>
            <w:tcW w:w="2474" w:type="dxa"/>
            <w:vAlign w:val="center"/>
          </w:tcPr>
          <w:p>
            <w:pPr>
              <w:spacing w:line="360" w:lineRule="auto"/>
              <w:jc w:val="center"/>
              <w:rPr>
                <w:sz w:val="24"/>
              </w:rPr>
            </w:pPr>
            <w:r>
              <w:rPr>
                <w:sz w:val="24"/>
              </w:rPr>
              <w:t>0.0</w:t>
            </w:r>
            <w:r>
              <w:rPr>
                <w:rFonts w:hint="eastAsia"/>
                <w:sz w:val="24"/>
              </w:rPr>
              <w:t>1</w:t>
            </w:r>
            <w:r>
              <w:rPr>
                <w:sz w:val="24"/>
              </w:rPr>
              <w:t>t/a</w:t>
            </w:r>
          </w:p>
        </w:tc>
        <w:tc>
          <w:tcPr>
            <w:tcW w:w="2487" w:type="dxa"/>
            <w:vMerge w:val="restart"/>
            <w:vAlign w:val="center"/>
          </w:tcPr>
          <w:p>
            <w:pPr>
              <w:snapToGrid w:val="0"/>
              <w:spacing w:line="360" w:lineRule="auto"/>
              <w:jc w:val="center"/>
              <w:rPr>
                <w:sz w:val="24"/>
              </w:rPr>
            </w:pPr>
            <w:r>
              <w:rPr>
                <w:rFonts w:hint="eastAsia"/>
                <w:sz w:val="24"/>
              </w:rPr>
              <w:t>0</w:t>
            </w:r>
            <w:r>
              <w:rPr>
                <w:sz w:val="24"/>
              </w:rPr>
              <w:t xml:space="preserve">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9" w:hRule="atLeast"/>
        </w:trPr>
        <w:tc>
          <w:tcPr>
            <w:tcW w:w="806" w:type="dxa"/>
            <w:vMerge w:val="continue"/>
            <w:vAlign w:val="center"/>
          </w:tcPr>
          <w:p>
            <w:pPr>
              <w:spacing w:line="360" w:lineRule="auto"/>
              <w:rPr>
                <w:sz w:val="24"/>
              </w:rPr>
            </w:pPr>
          </w:p>
        </w:tc>
        <w:tc>
          <w:tcPr>
            <w:tcW w:w="1409" w:type="dxa"/>
            <w:gridSpan w:val="2"/>
            <w:vMerge w:val="continue"/>
          </w:tcPr>
          <w:p>
            <w:pPr>
              <w:spacing w:line="360" w:lineRule="auto"/>
              <w:rPr>
                <w:sz w:val="24"/>
              </w:rPr>
            </w:pPr>
          </w:p>
        </w:tc>
        <w:tc>
          <w:tcPr>
            <w:tcW w:w="1346" w:type="dxa"/>
            <w:vAlign w:val="center"/>
          </w:tcPr>
          <w:p>
            <w:pPr>
              <w:spacing w:line="360" w:lineRule="auto"/>
              <w:jc w:val="center"/>
              <w:rPr>
                <w:color w:val="FF0000"/>
                <w:sz w:val="24"/>
              </w:rPr>
            </w:pPr>
            <w:r>
              <w:rPr>
                <w:rFonts w:hint="eastAsia"/>
                <w:color w:val="FF0000"/>
                <w:sz w:val="24"/>
                <w:lang w:val="zh-CN"/>
              </w:rPr>
              <w:t>废活性炭</w:t>
            </w:r>
          </w:p>
        </w:tc>
        <w:tc>
          <w:tcPr>
            <w:tcW w:w="2474" w:type="dxa"/>
            <w:vAlign w:val="center"/>
          </w:tcPr>
          <w:p>
            <w:pPr>
              <w:spacing w:line="360" w:lineRule="auto"/>
              <w:jc w:val="center"/>
              <w:rPr>
                <w:color w:val="FF0000"/>
                <w:sz w:val="24"/>
              </w:rPr>
            </w:pPr>
            <w:r>
              <w:rPr>
                <w:rFonts w:hint="eastAsia"/>
                <w:color w:val="FF0000"/>
                <w:sz w:val="24"/>
              </w:rPr>
              <w:t>0.</w:t>
            </w:r>
            <w:r>
              <w:rPr>
                <w:rFonts w:hint="eastAsia"/>
                <w:color w:val="FF0000"/>
                <w:sz w:val="24"/>
                <w:lang w:val="en-US" w:eastAsia="zh-CN"/>
              </w:rPr>
              <w:t>24</w:t>
            </w:r>
            <w:r>
              <w:rPr>
                <w:bCs/>
                <w:color w:val="FF0000"/>
                <w:sz w:val="24"/>
              </w:rPr>
              <w:t>t/a</w:t>
            </w:r>
          </w:p>
        </w:tc>
        <w:tc>
          <w:tcPr>
            <w:tcW w:w="2487" w:type="dxa"/>
            <w:vMerge w:val="continue"/>
          </w:tcPr>
          <w:p>
            <w:pPr>
              <w:spacing w:line="360" w:lineRule="auto"/>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6" w:type="dxa"/>
            <w:vAlign w:val="center"/>
          </w:tcPr>
          <w:p>
            <w:pPr>
              <w:adjustRightInd w:val="0"/>
              <w:snapToGrid w:val="0"/>
              <w:spacing w:line="360" w:lineRule="auto"/>
              <w:jc w:val="center"/>
              <w:rPr>
                <w:sz w:val="24"/>
              </w:rPr>
            </w:pPr>
            <w:r>
              <w:rPr>
                <w:rFonts w:hint="eastAsia"/>
                <w:b/>
                <w:sz w:val="24"/>
              </w:rPr>
              <w:t>噪声</w:t>
            </w:r>
          </w:p>
        </w:tc>
        <w:tc>
          <w:tcPr>
            <w:tcW w:w="1409" w:type="dxa"/>
            <w:gridSpan w:val="2"/>
            <w:vAlign w:val="center"/>
          </w:tcPr>
          <w:p>
            <w:pPr>
              <w:spacing w:line="360" w:lineRule="auto"/>
              <w:jc w:val="center"/>
              <w:rPr>
                <w:sz w:val="24"/>
              </w:rPr>
            </w:pPr>
            <w:r>
              <w:rPr>
                <w:sz w:val="24"/>
              </w:rPr>
              <w:t>营运期</w:t>
            </w:r>
          </w:p>
          <w:p>
            <w:pPr>
              <w:spacing w:line="360" w:lineRule="auto"/>
              <w:jc w:val="center"/>
              <w:rPr>
                <w:sz w:val="24"/>
              </w:rPr>
            </w:pPr>
            <w:r>
              <w:rPr>
                <w:sz w:val="24"/>
              </w:rPr>
              <w:t>噪声</w:t>
            </w:r>
          </w:p>
        </w:tc>
        <w:tc>
          <w:tcPr>
            <w:tcW w:w="1346" w:type="dxa"/>
            <w:vAlign w:val="center"/>
          </w:tcPr>
          <w:p>
            <w:pPr>
              <w:spacing w:line="360" w:lineRule="auto"/>
              <w:jc w:val="center"/>
              <w:rPr>
                <w:sz w:val="24"/>
              </w:rPr>
            </w:pPr>
            <w:r>
              <w:rPr>
                <w:bCs/>
                <w:sz w:val="24"/>
              </w:rPr>
              <w:t>生产设备</w:t>
            </w:r>
            <w:r>
              <w:rPr>
                <w:sz w:val="24"/>
              </w:rPr>
              <w:t>等噪声</w:t>
            </w:r>
          </w:p>
        </w:tc>
        <w:tc>
          <w:tcPr>
            <w:tcW w:w="2474" w:type="dxa"/>
            <w:vAlign w:val="center"/>
          </w:tcPr>
          <w:p>
            <w:pPr>
              <w:snapToGrid w:val="0"/>
              <w:spacing w:line="360" w:lineRule="auto"/>
              <w:jc w:val="center"/>
              <w:rPr>
                <w:sz w:val="24"/>
              </w:rPr>
            </w:pPr>
            <w:r>
              <w:rPr>
                <w:rFonts w:hint="eastAsia"/>
                <w:sz w:val="24"/>
                <w:lang w:val="en-US" w:eastAsia="zh-CN"/>
              </w:rPr>
              <w:t>60-90</w:t>
            </w:r>
            <w:r>
              <w:rPr>
                <w:sz w:val="24"/>
              </w:rPr>
              <w:t>dB(A)</w:t>
            </w:r>
          </w:p>
        </w:tc>
        <w:tc>
          <w:tcPr>
            <w:tcW w:w="2487" w:type="dxa"/>
            <w:vAlign w:val="center"/>
          </w:tcPr>
          <w:p>
            <w:pPr>
              <w:snapToGrid w:val="0"/>
              <w:spacing w:line="360" w:lineRule="auto"/>
              <w:jc w:val="center"/>
              <w:rPr>
                <w:rFonts w:hint="default" w:eastAsia="宋体"/>
                <w:sz w:val="24"/>
                <w:lang w:val="en-US" w:eastAsia="zh-CN"/>
              </w:rPr>
            </w:pPr>
            <w:r>
              <w:rPr>
                <w:rFonts w:hint="eastAsia"/>
                <w:sz w:val="24"/>
                <w:lang w:val="en-US" w:eastAsia="zh-CN"/>
              </w:rPr>
              <w:t>昼间≤60，夜间≤50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83" w:hRule="atLeast"/>
        </w:trPr>
        <w:tc>
          <w:tcPr>
            <w:tcW w:w="806" w:type="dxa"/>
            <w:vAlign w:val="center"/>
          </w:tcPr>
          <w:p>
            <w:pPr>
              <w:adjustRightInd w:val="0"/>
              <w:snapToGrid w:val="0"/>
              <w:spacing w:line="360" w:lineRule="auto"/>
              <w:jc w:val="center"/>
              <w:rPr>
                <w:b/>
                <w:sz w:val="24"/>
              </w:rPr>
            </w:pPr>
            <w:r>
              <w:rPr>
                <w:rFonts w:hint="eastAsia"/>
                <w:b/>
                <w:sz w:val="24"/>
              </w:rPr>
              <w:t>其</w:t>
            </w:r>
          </w:p>
          <w:p>
            <w:pPr>
              <w:adjustRightInd w:val="0"/>
              <w:snapToGrid w:val="0"/>
              <w:spacing w:line="360" w:lineRule="auto"/>
              <w:jc w:val="center"/>
              <w:rPr>
                <w:sz w:val="24"/>
              </w:rPr>
            </w:pPr>
            <w:r>
              <w:rPr>
                <w:rFonts w:hint="eastAsia"/>
                <w:b/>
                <w:sz w:val="24"/>
              </w:rPr>
              <w:t>他</w:t>
            </w:r>
          </w:p>
        </w:tc>
        <w:tc>
          <w:tcPr>
            <w:tcW w:w="7716" w:type="dxa"/>
            <w:gridSpan w:val="5"/>
          </w:tcPr>
          <w:p>
            <w:pPr>
              <w:spacing w:line="360" w:lineRule="auto"/>
              <w:jc w:val="center"/>
              <w:rPr>
                <w:sz w:val="24"/>
              </w:rPr>
            </w:pP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6"/>
          </w:tcPr>
          <w:p>
            <w:pPr>
              <w:pStyle w:val="2"/>
              <w:spacing w:before="0" w:after="0" w:line="360" w:lineRule="auto"/>
              <w:outlineLvl w:val="0"/>
              <w:rPr>
                <w:b w:val="0"/>
                <w:sz w:val="24"/>
                <w:szCs w:val="24"/>
              </w:rPr>
            </w:pPr>
            <w:r>
              <w:rPr>
                <w:rFonts w:hint="eastAsia"/>
                <w:sz w:val="24"/>
                <w:szCs w:val="24"/>
              </w:rPr>
              <w:t>主要生态影响（不够时可附另页）：</w:t>
            </w:r>
          </w:p>
          <w:p>
            <w:pPr>
              <w:pStyle w:val="2"/>
              <w:spacing w:before="0" w:after="0" w:line="360" w:lineRule="auto"/>
              <w:ind w:firstLine="480" w:firstLineChars="200"/>
              <w:outlineLvl w:val="0"/>
              <w:rPr>
                <w:sz w:val="24"/>
                <w:szCs w:val="24"/>
              </w:rPr>
            </w:pPr>
            <w:r>
              <w:rPr>
                <w:b w:val="0"/>
                <w:sz w:val="24"/>
                <w:szCs w:val="24"/>
              </w:rPr>
              <w:t>本项目所在地周围无特别值得关注的国家重要自然景区或较为重要的生态系统，不属于珍稀或濒危特殊物种的生境或迁徙走廊。项目租赁建筑物已建成投入试运行，故不存在生态影响</w:t>
            </w:r>
            <w:r>
              <w:rPr>
                <w:rFonts w:hint="eastAsia"/>
                <w:b w:val="0"/>
                <w:sz w:val="24"/>
                <w:szCs w:val="24"/>
              </w:rPr>
              <w:t>。</w:t>
            </w:r>
          </w:p>
        </w:tc>
      </w:tr>
    </w:tbl>
    <w:p>
      <w:pPr>
        <w:sectPr>
          <w:pgSz w:w="11906" w:h="16838"/>
          <w:pgMar w:top="1440" w:right="1800" w:bottom="1440" w:left="1800" w:header="851" w:footer="992" w:gutter="0"/>
          <w:pgNumType w:fmt="decimal"/>
          <w:cols w:space="425" w:num="1"/>
          <w:docGrid w:type="lines" w:linePitch="312" w:charSpace="0"/>
        </w:sectPr>
      </w:pPr>
    </w:p>
    <w:p>
      <w:pPr>
        <w:keepNext/>
        <w:rPr>
          <w:b/>
          <w:bCs/>
        </w:rPr>
      </w:pPr>
      <w:r>
        <w:rPr>
          <w:rFonts w:hint="eastAsia"/>
          <w:b/>
          <w:bCs/>
          <w:sz w:val="30"/>
        </w:rPr>
        <w:t>环境影响分析</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126" w:hRule="atLeast"/>
        </w:trPr>
        <w:tc>
          <w:tcPr>
            <w:tcW w:w="8522" w:type="dxa"/>
          </w:tcPr>
          <w:p>
            <w:pPr>
              <w:pStyle w:val="3"/>
              <w:numPr>
                <w:ilvl w:val="0"/>
                <w:numId w:val="9"/>
              </w:numPr>
              <w:spacing w:before="0" w:after="0" w:line="360" w:lineRule="auto"/>
              <w:ind w:firstLine="482" w:firstLineChars="200"/>
              <w:outlineLvl w:val="1"/>
              <w:rPr>
                <w:rFonts w:ascii="Times New Roman" w:hAnsi="Times New Roman"/>
                <w:sz w:val="24"/>
                <w:szCs w:val="28"/>
              </w:rPr>
            </w:pPr>
            <w:r>
              <w:rPr>
                <w:rFonts w:hint="eastAsia" w:ascii="Times New Roman" w:hAnsi="Times New Roman"/>
                <w:sz w:val="24"/>
                <w:szCs w:val="28"/>
              </w:rPr>
              <w:t>施工期环境影响分析</w:t>
            </w:r>
          </w:p>
          <w:p>
            <w:pPr>
              <w:pStyle w:val="8"/>
              <w:snapToGrid/>
              <w:ind w:firstLine="480"/>
              <w:rPr>
                <w:rFonts w:ascii="Times New Roman"/>
                <w:sz w:val="24"/>
                <w:szCs w:val="24"/>
                <w:lang w:val="zh-CN"/>
              </w:rPr>
            </w:pPr>
            <w:r>
              <w:rPr>
                <w:rFonts w:hint="eastAsia"/>
                <w:bCs/>
                <w:sz w:val="24"/>
                <w:szCs w:val="22"/>
              </w:rPr>
              <w:t>本项目租用已建厂房进行经营，设备已安装完成，</w:t>
            </w:r>
            <w:r>
              <w:rPr>
                <w:rFonts w:hint="eastAsia" w:ascii="Times New Roman"/>
                <w:sz w:val="24"/>
                <w:szCs w:val="24"/>
                <w:lang w:val="zh-CN"/>
              </w:rPr>
              <w:t>施工期的环境影响已消失，因此，本报告不再进行施工期环境影响分析评价。</w:t>
            </w:r>
          </w:p>
          <w:p>
            <w:pPr>
              <w:spacing w:line="360" w:lineRule="auto"/>
              <w:ind w:firstLine="482" w:firstLineChars="200"/>
              <w:jc w:val="left"/>
              <w:rPr>
                <w:b/>
                <w:sz w:val="22"/>
                <w:szCs w:val="22"/>
              </w:rPr>
            </w:pPr>
            <w:r>
              <w:rPr>
                <w:rFonts w:hint="eastAsia"/>
                <w:b/>
                <w:sz w:val="24"/>
                <w:szCs w:val="22"/>
              </w:rPr>
              <w:t>二、运营期环境影响分析</w:t>
            </w:r>
          </w:p>
          <w:p>
            <w:pPr>
              <w:spacing w:line="360" w:lineRule="auto"/>
              <w:ind w:firstLine="482" w:firstLineChars="200"/>
              <w:jc w:val="left"/>
              <w:rPr>
                <w:bCs/>
                <w:sz w:val="24"/>
              </w:rPr>
            </w:pPr>
            <w:r>
              <w:rPr>
                <w:b/>
                <w:sz w:val="24"/>
                <w:szCs w:val="22"/>
              </w:rPr>
              <w:t>1</w:t>
            </w:r>
            <w:r>
              <w:rPr>
                <w:rFonts w:hint="eastAsia"/>
                <w:b/>
                <w:sz w:val="24"/>
                <w:szCs w:val="22"/>
              </w:rPr>
              <w:t>、水环境影响分析</w:t>
            </w:r>
          </w:p>
          <w:p>
            <w:pPr>
              <w:spacing w:line="360" w:lineRule="auto"/>
              <w:ind w:firstLine="480" w:firstLineChars="200"/>
              <w:rPr>
                <w:bCs/>
                <w:sz w:val="24"/>
              </w:rPr>
            </w:pPr>
            <w:r>
              <w:rPr>
                <w:rFonts w:hint="eastAsia" w:cs="宋体"/>
                <w:bCs/>
                <w:sz w:val="24"/>
              </w:rPr>
              <w:t>本项目生产过程中无生产废水产生，外排的废水只有生活污水，项目生活污水经三级化粪池处理后通过市政污水管网流入龙归污水处理厂深度处理后排入</w:t>
            </w:r>
            <w:r>
              <w:rPr>
                <w:rFonts w:hint="eastAsia"/>
                <w:sz w:val="24"/>
              </w:rPr>
              <w:t>均禾涌，最终流入石井河</w:t>
            </w:r>
            <w:r>
              <w:rPr>
                <w:rFonts w:hint="eastAsia"/>
                <w:sz w:val="24"/>
                <w:lang w:eastAsia="zh-CN"/>
              </w:rPr>
              <w:t>，</w:t>
            </w:r>
            <w:r>
              <w:rPr>
                <w:rFonts w:hint="eastAsia" w:cs="宋体"/>
                <w:bCs/>
                <w:sz w:val="24"/>
              </w:rPr>
              <w:t>不会对周围环境产生很大影响。</w:t>
            </w:r>
          </w:p>
          <w:p>
            <w:pPr>
              <w:spacing w:line="360" w:lineRule="auto"/>
              <w:ind w:firstLine="480" w:firstLineChars="200"/>
              <w:rPr>
                <w:bCs/>
                <w:sz w:val="24"/>
              </w:rPr>
            </w:pPr>
            <w:r>
              <w:rPr>
                <w:rFonts w:hint="eastAsia"/>
                <w:bCs/>
                <w:sz w:val="24"/>
              </w:rPr>
              <w:t>（1）评价等级确定</w:t>
            </w:r>
          </w:p>
          <w:p>
            <w:pPr>
              <w:spacing w:line="360" w:lineRule="auto"/>
              <w:ind w:firstLine="480" w:firstLineChars="200"/>
              <w:rPr>
                <w:bCs/>
                <w:sz w:val="24"/>
              </w:rPr>
            </w:pPr>
            <w:r>
              <w:rPr>
                <w:bCs/>
                <w:sz w:val="24"/>
              </w:rPr>
              <w:t>按照《环境影响评价技术导则-</w:t>
            </w:r>
            <w:r>
              <w:rPr>
                <w:rFonts w:hint="eastAsia"/>
                <w:bCs/>
                <w:sz w:val="24"/>
              </w:rPr>
              <w:t>地表水</w:t>
            </w:r>
            <w:r>
              <w:rPr>
                <w:bCs/>
                <w:sz w:val="24"/>
              </w:rPr>
              <w:t>环境》（HJ2.</w:t>
            </w:r>
            <w:r>
              <w:rPr>
                <w:rFonts w:hint="eastAsia"/>
                <w:bCs/>
                <w:sz w:val="24"/>
              </w:rPr>
              <w:t>3</w:t>
            </w:r>
            <w:r>
              <w:rPr>
                <w:bCs/>
                <w:sz w:val="24"/>
              </w:rPr>
              <w:t>-2018）中的规定</w:t>
            </w:r>
            <w:r>
              <w:rPr>
                <w:rFonts w:hint="eastAsia"/>
                <w:bCs/>
                <w:sz w:val="24"/>
              </w:rPr>
              <w:t>：间接排放建设项目评价等级为三级B。</w:t>
            </w:r>
          </w:p>
          <w:p>
            <w:pPr>
              <w:spacing w:line="360" w:lineRule="auto"/>
              <w:ind w:firstLine="480" w:firstLineChars="200"/>
              <w:rPr>
                <w:bCs/>
                <w:sz w:val="24"/>
              </w:rPr>
            </w:pPr>
            <w:r>
              <w:rPr>
                <w:rFonts w:hint="eastAsia"/>
                <w:bCs/>
                <w:sz w:val="24"/>
              </w:rPr>
              <w:t>（2）评价范围确定</w:t>
            </w:r>
          </w:p>
          <w:p>
            <w:pPr>
              <w:spacing w:line="360" w:lineRule="auto"/>
              <w:ind w:firstLine="480" w:firstLineChars="200"/>
              <w:rPr>
                <w:bCs/>
                <w:sz w:val="24"/>
              </w:rPr>
            </w:pPr>
            <w:r>
              <w:rPr>
                <w:bCs/>
                <w:sz w:val="24"/>
              </w:rPr>
              <w:t>按照《环境影响评价技术导则-</w:t>
            </w:r>
            <w:r>
              <w:rPr>
                <w:rFonts w:hint="eastAsia"/>
                <w:bCs/>
                <w:sz w:val="24"/>
              </w:rPr>
              <w:t>地表水</w:t>
            </w:r>
            <w:r>
              <w:rPr>
                <w:bCs/>
                <w:sz w:val="24"/>
              </w:rPr>
              <w:t>环境》（HJ2.</w:t>
            </w:r>
            <w:r>
              <w:rPr>
                <w:rFonts w:hint="eastAsia"/>
                <w:bCs/>
                <w:sz w:val="24"/>
              </w:rPr>
              <w:t>3</w:t>
            </w:r>
            <w:r>
              <w:rPr>
                <w:bCs/>
                <w:sz w:val="24"/>
              </w:rPr>
              <w:t>-2018）中的规定</w:t>
            </w:r>
            <w:r>
              <w:rPr>
                <w:rFonts w:hint="eastAsia"/>
                <w:bCs/>
                <w:sz w:val="24"/>
              </w:rPr>
              <w:t>：三级B，其评价范围应符合以下要求：</w:t>
            </w:r>
          </w:p>
          <w:p>
            <w:pPr>
              <w:spacing w:line="360" w:lineRule="auto"/>
              <w:ind w:firstLine="480" w:firstLineChars="200"/>
              <w:rPr>
                <w:bCs/>
                <w:sz w:val="24"/>
              </w:rPr>
            </w:pPr>
            <w:r>
              <w:rPr>
                <w:rFonts w:hint="eastAsia"/>
                <w:bCs/>
                <w:sz w:val="24"/>
              </w:rPr>
              <w:t>a) 应满足其依托污水处理设施环境可行性分析的要求；</w:t>
            </w:r>
          </w:p>
          <w:p>
            <w:pPr>
              <w:spacing w:line="360" w:lineRule="auto"/>
              <w:ind w:firstLine="480" w:firstLineChars="200"/>
              <w:rPr>
                <w:bCs/>
                <w:sz w:val="24"/>
              </w:rPr>
            </w:pPr>
            <w:r>
              <w:rPr>
                <w:rFonts w:hint="eastAsia"/>
                <w:bCs/>
                <w:sz w:val="24"/>
              </w:rPr>
              <w:t>b) 涉及地表水环境风险的，应覆盖环境风险影响范围所及的水环境保护目标水域。</w:t>
            </w:r>
          </w:p>
          <w:p>
            <w:pPr>
              <w:spacing w:line="360" w:lineRule="auto"/>
              <w:ind w:firstLine="480" w:firstLineChars="200"/>
              <w:rPr>
                <w:bCs/>
                <w:sz w:val="24"/>
              </w:rPr>
            </w:pPr>
            <w:r>
              <w:rPr>
                <w:rFonts w:hint="eastAsia"/>
                <w:bCs/>
                <w:sz w:val="24"/>
              </w:rPr>
              <w:t>（3）评价时期确定</w:t>
            </w:r>
          </w:p>
          <w:p>
            <w:pPr>
              <w:spacing w:line="360" w:lineRule="auto"/>
              <w:ind w:firstLine="480" w:firstLineChars="200"/>
              <w:rPr>
                <w:bCs/>
                <w:sz w:val="24"/>
              </w:rPr>
            </w:pPr>
            <w:r>
              <w:rPr>
                <w:bCs/>
                <w:sz w:val="24"/>
              </w:rPr>
              <w:t>按照《环境影响评价技术导则-</w:t>
            </w:r>
            <w:r>
              <w:rPr>
                <w:rFonts w:hint="eastAsia"/>
                <w:bCs/>
                <w:sz w:val="24"/>
              </w:rPr>
              <w:t>地表水</w:t>
            </w:r>
            <w:r>
              <w:rPr>
                <w:bCs/>
                <w:sz w:val="24"/>
              </w:rPr>
              <w:t>环境》（HJ2.</w:t>
            </w:r>
            <w:r>
              <w:rPr>
                <w:rFonts w:hint="eastAsia"/>
                <w:bCs/>
                <w:sz w:val="24"/>
              </w:rPr>
              <w:t>3</w:t>
            </w:r>
            <w:r>
              <w:rPr>
                <w:bCs/>
                <w:sz w:val="24"/>
              </w:rPr>
              <w:t>-2018）中的规定</w:t>
            </w:r>
            <w:r>
              <w:rPr>
                <w:rFonts w:hint="eastAsia"/>
                <w:bCs/>
                <w:sz w:val="24"/>
              </w:rPr>
              <w:t>：三级B评价，可不考虑评价时期。本项目地表水评价等级为三级B，因此，不考虑评价时期。</w:t>
            </w:r>
          </w:p>
          <w:p>
            <w:pPr>
              <w:spacing w:line="360" w:lineRule="auto"/>
              <w:ind w:firstLine="480" w:firstLineChars="200"/>
              <w:rPr>
                <w:bCs/>
                <w:sz w:val="24"/>
              </w:rPr>
            </w:pPr>
            <w:r>
              <w:rPr>
                <w:rFonts w:hint="eastAsia"/>
                <w:bCs/>
                <w:sz w:val="24"/>
              </w:rPr>
              <w:t>（4）水环境影响预测</w:t>
            </w:r>
          </w:p>
          <w:p>
            <w:pPr>
              <w:spacing w:line="360" w:lineRule="auto"/>
              <w:ind w:firstLine="480" w:firstLineChars="200"/>
              <w:rPr>
                <w:bCs/>
                <w:sz w:val="24"/>
              </w:rPr>
            </w:pPr>
            <w:r>
              <w:rPr>
                <w:bCs/>
                <w:sz w:val="24"/>
              </w:rPr>
              <w:t>按照《环境影响评价技术导则-</w:t>
            </w:r>
            <w:r>
              <w:rPr>
                <w:rFonts w:hint="eastAsia"/>
                <w:bCs/>
                <w:sz w:val="24"/>
              </w:rPr>
              <w:t>地表水</w:t>
            </w:r>
            <w:r>
              <w:rPr>
                <w:bCs/>
                <w:sz w:val="24"/>
              </w:rPr>
              <w:t>环境》（HJ2.</w:t>
            </w:r>
            <w:r>
              <w:rPr>
                <w:rFonts w:hint="eastAsia"/>
                <w:bCs/>
                <w:sz w:val="24"/>
              </w:rPr>
              <w:t>3</w:t>
            </w:r>
            <w:r>
              <w:rPr>
                <w:bCs/>
                <w:sz w:val="24"/>
              </w:rPr>
              <w:t>-2018）中的规定</w:t>
            </w:r>
            <w:r>
              <w:rPr>
                <w:rFonts w:hint="eastAsia"/>
                <w:bCs/>
                <w:sz w:val="24"/>
              </w:rPr>
              <w:t>：水污染影响型三级B评价可不进行水环境影响预测。</w:t>
            </w:r>
          </w:p>
          <w:p>
            <w:pPr>
              <w:spacing w:line="360" w:lineRule="auto"/>
              <w:ind w:firstLine="480" w:firstLineChars="200"/>
              <w:rPr>
                <w:bCs/>
                <w:sz w:val="24"/>
              </w:rPr>
            </w:pPr>
            <w:r>
              <w:rPr>
                <w:rFonts w:hint="eastAsia"/>
                <w:bCs/>
                <w:sz w:val="24"/>
              </w:rPr>
              <w:t>（5）地表水环境影响评价</w:t>
            </w:r>
          </w:p>
          <w:p>
            <w:pPr>
              <w:spacing w:line="360" w:lineRule="auto"/>
              <w:ind w:firstLine="480" w:firstLineChars="200"/>
              <w:rPr>
                <w:bCs/>
                <w:sz w:val="24"/>
              </w:rPr>
            </w:pPr>
            <w:r>
              <w:rPr>
                <w:rFonts w:hint="eastAsia"/>
                <w:bCs/>
                <w:sz w:val="24"/>
              </w:rPr>
              <w:t>水污染影响型三级B评价。主要评价内容包括：</w:t>
            </w:r>
          </w:p>
          <w:p>
            <w:pPr>
              <w:spacing w:line="360" w:lineRule="auto"/>
              <w:ind w:firstLine="480" w:firstLineChars="200"/>
              <w:rPr>
                <w:bCs/>
                <w:sz w:val="24"/>
              </w:rPr>
            </w:pPr>
            <w:r>
              <w:rPr>
                <w:rFonts w:hint="eastAsia"/>
                <w:bCs/>
                <w:sz w:val="24"/>
              </w:rPr>
              <w:t>a) 水污染控制和水环境影响减缓措施有效性评价</w:t>
            </w:r>
          </w:p>
          <w:p>
            <w:pPr>
              <w:pStyle w:val="21"/>
              <w:ind w:firstLine="422" w:firstLineChars="200"/>
              <w:jc w:val="center"/>
              <w:rPr>
                <w:rFonts w:hint="eastAsia"/>
                <w:b/>
                <w:sz w:val="21"/>
                <w:szCs w:val="21"/>
              </w:rPr>
            </w:pPr>
          </w:p>
          <w:p>
            <w:pPr>
              <w:pStyle w:val="21"/>
              <w:ind w:firstLine="422" w:firstLineChars="200"/>
              <w:jc w:val="center"/>
              <w:rPr>
                <w:b/>
                <w:sz w:val="21"/>
                <w:szCs w:val="21"/>
              </w:rPr>
            </w:pPr>
            <w:r>
              <w:rPr>
                <w:rFonts w:hint="eastAsia"/>
                <w:b/>
                <w:sz w:val="21"/>
                <w:szCs w:val="21"/>
              </w:rPr>
              <w:t>表7-1  废水类别、污染物及污染治理设施信息表</w:t>
            </w:r>
          </w:p>
          <w:tbl>
            <w:tblPr>
              <w:tblStyle w:val="16"/>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
              <w:gridCol w:w="525"/>
              <w:gridCol w:w="900"/>
              <w:gridCol w:w="735"/>
              <w:gridCol w:w="795"/>
              <w:gridCol w:w="735"/>
              <w:gridCol w:w="705"/>
              <w:gridCol w:w="735"/>
              <w:gridCol w:w="705"/>
              <w:gridCol w:w="756"/>
              <w:gridCol w:w="1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83" w:type="dxa"/>
                  <w:vMerge w:val="restart"/>
                  <w:vAlign w:val="center"/>
                </w:tcPr>
                <w:p>
                  <w:pPr>
                    <w:pStyle w:val="26"/>
                    <w:ind w:firstLine="0" w:firstLineChars="0"/>
                  </w:pPr>
                  <w:r>
                    <w:rPr>
                      <w:rFonts w:hint="eastAsia"/>
                    </w:rPr>
                    <w:t>序号</w:t>
                  </w:r>
                </w:p>
              </w:tc>
              <w:tc>
                <w:tcPr>
                  <w:tcW w:w="525" w:type="dxa"/>
                  <w:vMerge w:val="restart"/>
                  <w:vAlign w:val="center"/>
                </w:tcPr>
                <w:p>
                  <w:pPr>
                    <w:pStyle w:val="26"/>
                    <w:ind w:firstLine="0" w:firstLineChars="0"/>
                  </w:pPr>
                  <w:r>
                    <w:rPr>
                      <w:rFonts w:hint="eastAsia"/>
                    </w:rPr>
                    <w:t>废水类别</w:t>
                  </w:r>
                </w:p>
              </w:tc>
              <w:tc>
                <w:tcPr>
                  <w:tcW w:w="900" w:type="dxa"/>
                  <w:vMerge w:val="restart"/>
                  <w:vAlign w:val="center"/>
                </w:tcPr>
                <w:p>
                  <w:pPr>
                    <w:pStyle w:val="26"/>
                    <w:ind w:firstLine="0" w:firstLineChars="0"/>
                  </w:pPr>
                  <w:r>
                    <w:rPr>
                      <w:rFonts w:hint="eastAsia"/>
                    </w:rPr>
                    <w:t>污染物种类</w:t>
                  </w:r>
                </w:p>
              </w:tc>
              <w:tc>
                <w:tcPr>
                  <w:tcW w:w="735" w:type="dxa"/>
                  <w:vMerge w:val="restart"/>
                  <w:vAlign w:val="center"/>
                </w:tcPr>
                <w:p>
                  <w:pPr>
                    <w:pStyle w:val="26"/>
                    <w:ind w:firstLine="0" w:firstLineChars="0"/>
                  </w:pPr>
                  <w:r>
                    <w:rPr>
                      <w:rFonts w:hint="eastAsia"/>
                    </w:rPr>
                    <w:t>排放去向</w:t>
                  </w:r>
                </w:p>
              </w:tc>
              <w:tc>
                <w:tcPr>
                  <w:tcW w:w="795" w:type="dxa"/>
                  <w:vMerge w:val="restart"/>
                  <w:vAlign w:val="center"/>
                </w:tcPr>
                <w:p>
                  <w:pPr>
                    <w:pStyle w:val="26"/>
                    <w:ind w:firstLine="0" w:firstLineChars="0"/>
                  </w:pPr>
                  <w:r>
                    <w:rPr>
                      <w:rFonts w:hint="eastAsia"/>
                    </w:rPr>
                    <w:t>排放规律</w:t>
                  </w:r>
                </w:p>
              </w:tc>
              <w:tc>
                <w:tcPr>
                  <w:tcW w:w="2175" w:type="dxa"/>
                  <w:gridSpan w:val="3"/>
                  <w:vAlign w:val="center"/>
                </w:tcPr>
                <w:p>
                  <w:pPr>
                    <w:pStyle w:val="26"/>
                    <w:ind w:firstLine="0" w:firstLineChars="0"/>
                  </w:pPr>
                  <w:r>
                    <w:rPr>
                      <w:rFonts w:hint="eastAsia"/>
                    </w:rPr>
                    <w:t>污染治理设施</w:t>
                  </w:r>
                </w:p>
              </w:tc>
              <w:tc>
                <w:tcPr>
                  <w:tcW w:w="705" w:type="dxa"/>
                  <w:vMerge w:val="restart"/>
                  <w:vAlign w:val="center"/>
                </w:tcPr>
                <w:p>
                  <w:pPr>
                    <w:pStyle w:val="26"/>
                    <w:ind w:firstLine="0" w:firstLineChars="0"/>
                  </w:pPr>
                  <w:r>
                    <w:rPr>
                      <w:rFonts w:hint="eastAsia"/>
                    </w:rPr>
                    <w:t>排放口编号</w:t>
                  </w:r>
                </w:p>
              </w:tc>
              <w:tc>
                <w:tcPr>
                  <w:tcW w:w="756" w:type="dxa"/>
                  <w:vMerge w:val="restart"/>
                  <w:vAlign w:val="center"/>
                </w:tcPr>
                <w:p>
                  <w:pPr>
                    <w:pStyle w:val="26"/>
                    <w:ind w:firstLine="0" w:firstLineChars="0"/>
                  </w:pPr>
                  <w:r>
                    <w:rPr>
                      <w:rFonts w:hint="eastAsia"/>
                    </w:rPr>
                    <w:t>排放口设置是否符合要求</w:t>
                  </w:r>
                </w:p>
              </w:tc>
              <w:tc>
                <w:tcPr>
                  <w:tcW w:w="1322" w:type="dxa"/>
                  <w:vMerge w:val="restart"/>
                  <w:vAlign w:val="center"/>
                </w:tcPr>
                <w:p>
                  <w:pPr>
                    <w:pStyle w:val="26"/>
                    <w:ind w:firstLine="0" w:firstLineChars="0"/>
                  </w:pPr>
                  <w:r>
                    <w:rPr>
                      <w:rFonts w:hint="eastAsia"/>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83" w:type="dxa"/>
                  <w:vMerge w:val="continue"/>
                  <w:vAlign w:val="center"/>
                </w:tcPr>
                <w:p>
                  <w:pPr>
                    <w:pStyle w:val="26"/>
                    <w:ind w:firstLine="0" w:firstLineChars="0"/>
                  </w:pPr>
                </w:p>
              </w:tc>
              <w:tc>
                <w:tcPr>
                  <w:tcW w:w="525" w:type="dxa"/>
                  <w:vMerge w:val="continue"/>
                  <w:vAlign w:val="center"/>
                </w:tcPr>
                <w:p>
                  <w:pPr>
                    <w:pStyle w:val="26"/>
                    <w:ind w:firstLine="0" w:firstLineChars="0"/>
                  </w:pPr>
                </w:p>
              </w:tc>
              <w:tc>
                <w:tcPr>
                  <w:tcW w:w="900" w:type="dxa"/>
                  <w:vMerge w:val="continue"/>
                  <w:vAlign w:val="center"/>
                </w:tcPr>
                <w:p>
                  <w:pPr>
                    <w:pStyle w:val="26"/>
                    <w:ind w:firstLine="0" w:firstLineChars="0"/>
                  </w:pPr>
                </w:p>
              </w:tc>
              <w:tc>
                <w:tcPr>
                  <w:tcW w:w="735" w:type="dxa"/>
                  <w:vMerge w:val="continue"/>
                  <w:vAlign w:val="center"/>
                </w:tcPr>
                <w:p>
                  <w:pPr>
                    <w:pStyle w:val="26"/>
                    <w:ind w:firstLine="0" w:firstLineChars="0"/>
                  </w:pPr>
                </w:p>
              </w:tc>
              <w:tc>
                <w:tcPr>
                  <w:tcW w:w="795" w:type="dxa"/>
                  <w:vMerge w:val="continue"/>
                  <w:vAlign w:val="center"/>
                </w:tcPr>
                <w:p>
                  <w:pPr>
                    <w:pStyle w:val="26"/>
                    <w:ind w:firstLine="0" w:firstLineChars="0"/>
                  </w:pPr>
                </w:p>
              </w:tc>
              <w:tc>
                <w:tcPr>
                  <w:tcW w:w="735" w:type="dxa"/>
                  <w:vAlign w:val="center"/>
                </w:tcPr>
                <w:p>
                  <w:pPr>
                    <w:pStyle w:val="26"/>
                    <w:ind w:firstLine="0" w:firstLineChars="0"/>
                  </w:pPr>
                  <w:r>
                    <w:rPr>
                      <w:rFonts w:hint="eastAsia"/>
                    </w:rPr>
                    <w:t>污染治理设施</w:t>
                  </w:r>
                </w:p>
                <w:p>
                  <w:pPr>
                    <w:pStyle w:val="26"/>
                    <w:ind w:firstLine="0" w:firstLineChars="0"/>
                  </w:pPr>
                  <w:r>
                    <w:rPr>
                      <w:rFonts w:hint="eastAsia"/>
                    </w:rPr>
                    <w:t>编号</w:t>
                  </w:r>
                </w:p>
              </w:tc>
              <w:tc>
                <w:tcPr>
                  <w:tcW w:w="705" w:type="dxa"/>
                  <w:vAlign w:val="center"/>
                </w:tcPr>
                <w:p>
                  <w:pPr>
                    <w:pStyle w:val="26"/>
                    <w:ind w:firstLine="0" w:firstLineChars="0"/>
                  </w:pPr>
                  <w:r>
                    <w:rPr>
                      <w:rFonts w:hint="eastAsia"/>
                    </w:rPr>
                    <w:t>污染治理设施</w:t>
                  </w:r>
                </w:p>
                <w:p>
                  <w:pPr>
                    <w:pStyle w:val="26"/>
                    <w:ind w:firstLine="0" w:firstLineChars="0"/>
                  </w:pPr>
                  <w:r>
                    <w:rPr>
                      <w:rFonts w:hint="eastAsia"/>
                    </w:rPr>
                    <w:t>名称</w:t>
                  </w:r>
                </w:p>
              </w:tc>
              <w:tc>
                <w:tcPr>
                  <w:tcW w:w="735" w:type="dxa"/>
                  <w:vAlign w:val="center"/>
                </w:tcPr>
                <w:p>
                  <w:pPr>
                    <w:pStyle w:val="26"/>
                    <w:ind w:firstLine="0" w:firstLineChars="0"/>
                  </w:pPr>
                  <w:r>
                    <w:rPr>
                      <w:rFonts w:hint="eastAsia"/>
                    </w:rPr>
                    <w:t>污染治理设施工艺</w:t>
                  </w:r>
                </w:p>
              </w:tc>
              <w:tc>
                <w:tcPr>
                  <w:tcW w:w="705" w:type="dxa"/>
                  <w:vMerge w:val="continue"/>
                  <w:vAlign w:val="center"/>
                </w:tcPr>
                <w:p>
                  <w:pPr>
                    <w:pStyle w:val="26"/>
                    <w:ind w:firstLine="0" w:firstLineChars="0"/>
                  </w:pPr>
                </w:p>
              </w:tc>
              <w:tc>
                <w:tcPr>
                  <w:tcW w:w="756" w:type="dxa"/>
                  <w:vMerge w:val="continue"/>
                  <w:vAlign w:val="center"/>
                </w:tcPr>
                <w:p>
                  <w:pPr>
                    <w:pStyle w:val="26"/>
                    <w:ind w:firstLine="0" w:firstLineChars="0"/>
                  </w:pPr>
                </w:p>
              </w:tc>
              <w:tc>
                <w:tcPr>
                  <w:tcW w:w="1322" w:type="dxa"/>
                  <w:vMerge w:val="continue"/>
                  <w:vAlign w:val="center"/>
                </w:tcPr>
                <w:p>
                  <w:pPr>
                    <w:pStyle w:val="26"/>
                    <w:ind w:firstLine="0" w:firstLineChars="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83" w:type="dxa"/>
                  <w:vAlign w:val="center"/>
                </w:tcPr>
                <w:p>
                  <w:pPr>
                    <w:pStyle w:val="26"/>
                    <w:ind w:firstLine="0" w:firstLineChars="0"/>
                  </w:pPr>
                  <w:r>
                    <w:rPr>
                      <w:rFonts w:hint="eastAsia"/>
                    </w:rPr>
                    <w:t>1</w:t>
                  </w:r>
                </w:p>
              </w:tc>
              <w:tc>
                <w:tcPr>
                  <w:tcW w:w="525" w:type="dxa"/>
                  <w:vAlign w:val="center"/>
                </w:tcPr>
                <w:p>
                  <w:pPr>
                    <w:pStyle w:val="26"/>
                    <w:ind w:firstLine="0" w:firstLineChars="0"/>
                  </w:pPr>
                  <w:r>
                    <w:rPr>
                      <w:rFonts w:hint="eastAsia"/>
                    </w:rPr>
                    <w:t>生活污水</w:t>
                  </w:r>
                </w:p>
              </w:tc>
              <w:tc>
                <w:tcPr>
                  <w:tcW w:w="900" w:type="dxa"/>
                  <w:vAlign w:val="center"/>
                </w:tcPr>
                <w:p>
                  <w:pPr>
                    <w:pStyle w:val="26"/>
                    <w:ind w:firstLine="0" w:firstLineChars="0"/>
                    <w:rPr>
                      <w:vertAlign w:val="subscript"/>
                    </w:rPr>
                  </w:pPr>
                  <w:r>
                    <w:rPr>
                      <w:rFonts w:hint="eastAsia"/>
                    </w:rPr>
                    <w:t>COD</w:t>
                  </w:r>
                  <w:r>
                    <w:rPr>
                      <w:rFonts w:hint="eastAsia"/>
                      <w:vertAlign w:val="subscript"/>
                    </w:rPr>
                    <w:t>Cr</w:t>
                  </w:r>
                </w:p>
                <w:p>
                  <w:pPr>
                    <w:pStyle w:val="26"/>
                    <w:ind w:firstLine="0" w:firstLineChars="0"/>
                    <w:rPr>
                      <w:vertAlign w:val="subscript"/>
                    </w:rPr>
                  </w:pPr>
                  <w:r>
                    <w:rPr>
                      <w:rFonts w:hint="eastAsia"/>
                    </w:rPr>
                    <w:t>BOD</w:t>
                  </w:r>
                  <w:r>
                    <w:rPr>
                      <w:rFonts w:hint="eastAsia"/>
                      <w:vertAlign w:val="subscript"/>
                    </w:rPr>
                    <w:t>5</w:t>
                  </w:r>
                </w:p>
                <w:p>
                  <w:pPr>
                    <w:pStyle w:val="26"/>
                    <w:ind w:firstLine="0" w:firstLineChars="0"/>
                  </w:pPr>
                  <w:r>
                    <w:rPr>
                      <w:rFonts w:hint="eastAsia"/>
                    </w:rPr>
                    <w:t>SS</w:t>
                  </w:r>
                </w:p>
                <w:p>
                  <w:pPr>
                    <w:pStyle w:val="26"/>
                    <w:ind w:firstLine="0" w:firstLineChars="0"/>
                  </w:pPr>
                  <w:r>
                    <w:rPr>
                      <w:rFonts w:hint="eastAsia"/>
                    </w:rPr>
                    <w:t>氨氮</w:t>
                  </w:r>
                </w:p>
              </w:tc>
              <w:tc>
                <w:tcPr>
                  <w:tcW w:w="735" w:type="dxa"/>
                  <w:vAlign w:val="center"/>
                </w:tcPr>
                <w:p>
                  <w:pPr>
                    <w:pStyle w:val="26"/>
                    <w:ind w:firstLine="0" w:firstLineChars="0"/>
                  </w:pPr>
                  <w:r>
                    <w:rPr>
                      <w:rFonts w:hint="eastAsia"/>
                    </w:rPr>
                    <w:t>进入城市污水处理厂</w:t>
                  </w:r>
                </w:p>
              </w:tc>
              <w:tc>
                <w:tcPr>
                  <w:tcW w:w="795" w:type="dxa"/>
                  <w:vAlign w:val="center"/>
                </w:tcPr>
                <w:p>
                  <w:pPr>
                    <w:pStyle w:val="26"/>
                    <w:ind w:firstLine="0" w:firstLineChars="0"/>
                  </w:pPr>
                  <w:r>
                    <w:rPr>
                      <w:rFonts w:hint="eastAsia"/>
                    </w:rPr>
                    <w:t>连续排放</w:t>
                  </w:r>
                </w:p>
                <w:p>
                  <w:pPr>
                    <w:pStyle w:val="26"/>
                    <w:ind w:firstLine="0" w:firstLineChars="0"/>
                  </w:pPr>
                  <w:r>
                    <w:rPr>
                      <w:rFonts w:hint="eastAsia"/>
                    </w:rPr>
                    <w:t>流量稳定</w:t>
                  </w:r>
                </w:p>
              </w:tc>
              <w:tc>
                <w:tcPr>
                  <w:tcW w:w="735" w:type="dxa"/>
                  <w:vAlign w:val="center"/>
                </w:tcPr>
                <w:p>
                  <w:pPr>
                    <w:pStyle w:val="26"/>
                    <w:ind w:firstLine="0" w:firstLineChars="0"/>
                  </w:pPr>
                  <w:r>
                    <w:rPr>
                      <w:rFonts w:hint="eastAsia"/>
                    </w:rPr>
                    <w:t>1#</w:t>
                  </w:r>
                </w:p>
              </w:tc>
              <w:tc>
                <w:tcPr>
                  <w:tcW w:w="705" w:type="dxa"/>
                  <w:vAlign w:val="center"/>
                </w:tcPr>
                <w:p>
                  <w:pPr>
                    <w:pStyle w:val="26"/>
                    <w:ind w:firstLine="0" w:firstLineChars="0"/>
                  </w:pPr>
                  <w:r>
                    <w:rPr>
                      <w:rFonts w:hint="eastAsia"/>
                    </w:rPr>
                    <w:t>生活污水处理系统</w:t>
                  </w:r>
                </w:p>
              </w:tc>
              <w:tc>
                <w:tcPr>
                  <w:tcW w:w="735" w:type="dxa"/>
                  <w:vAlign w:val="center"/>
                </w:tcPr>
                <w:p>
                  <w:pPr>
                    <w:pStyle w:val="26"/>
                    <w:ind w:firstLine="0" w:firstLineChars="0"/>
                  </w:pPr>
                  <w:r>
                    <w:rPr>
                      <w:rFonts w:hint="eastAsia"/>
                    </w:rPr>
                    <w:t>三级化粪池</w:t>
                  </w:r>
                </w:p>
              </w:tc>
              <w:tc>
                <w:tcPr>
                  <w:tcW w:w="705" w:type="dxa"/>
                  <w:vAlign w:val="center"/>
                </w:tcPr>
                <w:p>
                  <w:pPr>
                    <w:pStyle w:val="26"/>
                    <w:ind w:firstLine="0" w:firstLineChars="0"/>
                  </w:pPr>
                  <w:r>
                    <w:rPr>
                      <w:rFonts w:hint="eastAsia"/>
                      <w:lang w:val="en-US" w:eastAsia="zh-CN"/>
                    </w:rPr>
                    <w:t>W</w:t>
                  </w:r>
                  <w:r>
                    <w:rPr>
                      <w:rFonts w:hint="eastAsia"/>
                    </w:rPr>
                    <w:t>1</w:t>
                  </w:r>
                </w:p>
              </w:tc>
              <w:tc>
                <w:tcPr>
                  <w:tcW w:w="756" w:type="dxa"/>
                  <w:vAlign w:val="center"/>
                </w:tcPr>
                <w:p>
                  <w:pPr>
                    <w:pStyle w:val="26"/>
                    <w:ind w:firstLine="0" w:firstLineChars="0"/>
                  </w:pPr>
                  <w:r>
                    <w:rPr>
                      <w:rFonts w:hint="eastAsia"/>
                    </w:rPr>
                    <w:t>是</w:t>
                  </w:r>
                </w:p>
              </w:tc>
              <w:tc>
                <w:tcPr>
                  <w:tcW w:w="1322" w:type="dxa"/>
                </w:tcPr>
                <w:p>
                  <w:pPr>
                    <w:pStyle w:val="26"/>
                    <w:ind w:firstLine="0" w:firstLineChars="0"/>
                    <w:jc w:val="both"/>
                  </w:pPr>
                  <w:r>
                    <w:rPr>
                      <w:rFonts w:hint="eastAsia"/>
                    </w:rPr>
                    <w:sym w:font="Wingdings 2" w:char="0052"/>
                  </w:r>
                  <w:r>
                    <w:rPr>
                      <w:rFonts w:hint="eastAsia"/>
                    </w:rPr>
                    <w:t>企业总排</w:t>
                  </w:r>
                </w:p>
                <w:p>
                  <w:pPr>
                    <w:pStyle w:val="26"/>
                    <w:ind w:firstLine="0" w:firstLineChars="0"/>
                    <w:jc w:val="both"/>
                  </w:pPr>
                  <w:r>
                    <w:rPr>
                      <w:rFonts w:hint="eastAsia"/>
                    </w:rPr>
                    <w:t>□雨水排放</w:t>
                  </w:r>
                </w:p>
                <w:p>
                  <w:pPr>
                    <w:pStyle w:val="26"/>
                    <w:ind w:firstLine="0" w:firstLineChars="0"/>
                    <w:jc w:val="both"/>
                  </w:pPr>
                  <w:r>
                    <w:rPr>
                      <w:rFonts w:hint="eastAsia"/>
                    </w:rPr>
                    <w:t>□清净下水排放</w:t>
                  </w:r>
                </w:p>
                <w:p>
                  <w:pPr>
                    <w:pStyle w:val="26"/>
                    <w:ind w:firstLine="0" w:firstLineChars="0"/>
                    <w:jc w:val="both"/>
                  </w:pPr>
                  <w:r>
                    <w:rPr>
                      <w:rFonts w:hint="eastAsia"/>
                    </w:rPr>
                    <w:t>□温排水排放</w:t>
                  </w:r>
                </w:p>
                <w:p>
                  <w:pPr>
                    <w:pStyle w:val="26"/>
                    <w:ind w:firstLine="0" w:firstLineChars="0"/>
                    <w:jc w:val="both"/>
                  </w:pPr>
                  <w:r>
                    <w:rPr>
                      <w:rFonts w:hint="eastAsia"/>
                    </w:rPr>
                    <w:t>□车间或车间处理设施排放</w:t>
                  </w:r>
                </w:p>
              </w:tc>
            </w:tr>
          </w:tbl>
          <w:p>
            <w:pPr>
              <w:snapToGrid w:val="0"/>
              <w:spacing w:line="360" w:lineRule="auto"/>
              <w:ind w:firstLine="482"/>
              <w:jc w:val="center"/>
              <w:rPr>
                <w:b/>
                <w:kern w:val="0"/>
                <w:szCs w:val="21"/>
              </w:rPr>
            </w:pPr>
            <w:r>
              <w:rPr>
                <w:b/>
                <w:kern w:val="0"/>
                <w:szCs w:val="21"/>
              </w:rPr>
              <w:t>表</w:t>
            </w:r>
            <w:r>
              <w:rPr>
                <w:rFonts w:hint="eastAsia"/>
                <w:b/>
                <w:kern w:val="0"/>
                <w:szCs w:val="21"/>
              </w:rPr>
              <w:t>7-2</w:t>
            </w:r>
            <w:r>
              <w:rPr>
                <w:b/>
                <w:kern w:val="0"/>
                <w:szCs w:val="21"/>
              </w:rPr>
              <w:t xml:space="preserve">  </w:t>
            </w:r>
            <w:r>
              <w:rPr>
                <w:rFonts w:hint="eastAsia"/>
                <w:b/>
                <w:kern w:val="0"/>
                <w:szCs w:val="21"/>
              </w:rPr>
              <w:t>废水间接排放口基本情况表</w:t>
            </w:r>
          </w:p>
          <w:tbl>
            <w:tblPr>
              <w:tblStyle w:val="15"/>
              <w:tblW w:w="830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
              <w:gridCol w:w="506"/>
              <w:gridCol w:w="792"/>
              <w:gridCol w:w="676"/>
              <w:gridCol w:w="668"/>
              <w:gridCol w:w="727"/>
              <w:gridCol w:w="1240"/>
              <w:gridCol w:w="453"/>
              <w:gridCol w:w="554"/>
              <w:gridCol w:w="870"/>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5" w:hRule="atLeast"/>
                <w:jc w:val="center"/>
              </w:trPr>
              <w:tc>
                <w:tcPr>
                  <w:tcW w:w="417"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rPr>
                    <w:t>序号</w:t>
                  </w:r>
                </w:p>
              </w:tc>
              <w:tc>
                <w:tcPr>
                  <w:tcW w:w="506"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rPr>
                    <w:t>排放口编号</w:t>
                  </w:r>
                </w:p>
              </w:tc>
              <w:tc>
                <w:tcPr>
                  <w:tcW w:w="1468" w:type="dxa"/>
                  <w:gridSpan w:val="2"/>
                  <w:tcBorders>
                    <w:tl2br w:val="nil"/>
                    <w:tr2bl w:val="nil"/>
                  </w:tcBorders>
                  <w:vAlign w:val="center"/>
                </w:tcPr>
                <w:p>
                  <w:pPr>
                    <w:adjustRightInd w:val="0"/>
                    <w:snapToGrid w:val="0"/>
                    <w:jc w:val="center"/>
                    <w:textAlignment w:val="baseline"/>
                    <w:rPr>
                      <w:kern w:val="0"/>
                      <w:szCs w:val="21"/>
                    </w:rPr>
                  </w:pPr>
                  <w:r>
                    <w:rPr>
                      <w:rFonts w:hint="eastAsia"/>
                      <w:kern w:val="0"/>
                      <w:szCs w:val="21"/>
                    </w:rPr>
                    <w:t>排放口地理坐标</w:t>
                  </w:r>
                </w:p>
              </w:tc>
              <w:tc>
                <w:tcPr>
                  <w:tcW w:w="668"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rPr>
                    <w:t>废水排放量/（万t/a）</w:t>
                  </w:r>
                </w:p>
              </w:tc>
              <w:tc>
                <w:tcPr>
                  <w:tcW w:w="727"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rPr>
                    <w:t>排放去向</w:t>
                  </w:r>
                </w:p>
              </w:tc>
              <w:tc>
                <w:tcPr>
                  <w:tcW w:w="1240"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rPr>
                    <w:t>排放规律</w:t>
                  </w:r>
                </w:p>
              </w:tc>
              <w:tc>
                <w:tcPr>
                  <w:tcW w:w="453"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rPr>
                    <w:t>间接排放时段</w:t>
                  </w:r>
                </w:p>
              </w:tc>
              <w:tc>
                <w:tcPr>
                  <w:tcW w:w="2827" w:type="dxa"/>
                  <w:gridSpan w:val="3"/>
                  <w:tcBorders>
                    <w:tl2br w:val="nil"/>
                    <w:tr2bl w:val="nil"/>
                  </w:tcBorders>
                  <w:vAlign w:val="center"/>
                </w:tcPr>
                <w:p>
                  <w:pPr>
                    <w:adjustRightInd w:val="0"/>
                    <w:snapToGrid w:val="0"/>
                    <w:jc w:val="center"/>
                    <w:textAlignment w:val="baseline"/>
                    <w:rPr>
                      <w:kern w:val="0"/>
                      <w:szCs w:val="21"/>
                    </w:rPr>
                  </w:pPr>
                  <w:r>
                    <w:rPr>
                      <w:rFonts w:hint="eastAsia"/>
                      <w:kern w:val="0"/>
                      <w:szCs w:val="21"/>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jc w:val="center"/>
              </w:trPr>
              <w:tc>
                <w:tcPr>
                  <w:tcW w:w="417" w:type="dxa"/>
                  <w:vMerge w:val="continue"/>
                  <w:tcBorders>
                    <w:tl2br w:val="nil"/>
                    <w:tr2bl w:val="nil"/>
                  </w:tcBorders>
                  <w:vAlign w:val="center"/>
                </w:tcPr>
                <w:p>
                  <w:pPr>
                    <w:adjustRightInd w:val="0"/>
                    <w:snapToGrid w:val="0"/>
                    <w:jc w:val="center"/>
                    <w:textAlignment w:val="baseline"/>
                    <w:rPr>
                      <w:kern w:val="0"/>
                      <w:szCs w:val="21"/>
                    </w:rPr>
                  </w:pPr>
                </w:p>
              </w:tc>
              <w:tc>
                <w:tcPr>
                  <w:tcW w:w="506" w:type="dxa"/>
                  <w:vMerge w:val="continue"/>
                  <w:tcBorders>
                    <w:tl2br w:val="nil"/>
                    <w:tr2bl w:val="nil"/>
                  </w:tcBorders>
                  <w:vAlign w:val="center"/>
                </w:tcPr>
                <w:p>
                  <w:pPr>
                    <w:adjustRightInd w:val="0"/>
                    <w:snapToGrid w:val="0"/>
                    <w:jc w:val="center"/>
                    <w:textAlignment w:val="baseline"/>
                    <w:rPr>
                      <w:kern w:val="0"/>
                      <w:szCs w:val="21"/>
                    </w:rPr>
                  </w:pPr>
                </w:p>
              </w:tc>
              <w:tc>
                <w:tcPr>
                  <w:tcW w:w="792"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经度</w:t>
                  </w:r>
                </w:p>
              </w:tc>
              <w:tc>
                <w:tcPr>
                  <w:tcW w:w="676"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纬度</w:t>
                  </w:r>
                </w:p>
              </w:tc>
              <w:tc>
                <w:tcPr>
                  <w:tcW w:w="668" w:type="dxa"/>
                  <w:vMerge w:val="continue"/>
                  <w:tcBorders>
                    <w:tl2br w:val="nil"/>
                    <w:tr2bl w:val="nil"/>
                  </w:tcBorders>
                  <w:vAlign w:val="center"/>
                </w:tcPr>
                <w:p>
                  <w:pPr>
                    <w:adjustRightInd w:val="0"/>
                    <w:snapToGrid w:val="0"/>
                    <w:jc w:val="center"/>
                    <w:textAlignment w:val="baseline"/>
                    <w:rPr>
                      <w:kern w:val="0"/>
                      <w:szCs w:val="21"/>
                    </w:rPr>
                  </w:pPr>
                </w:p>
              </w:tc>
              <w:tc>
                <w:tcPr>
                  <w:tcW w:w="727" w:type="dxa"/>
                  <w:vMerge w:val="continue"/>
                  <w:tcBorders>
                    <w:tl2br w:val="nil"/>
                    <w:tr2bl w:val="nil"/>
                  </w:tcBorders>
                  <w:vAlign w:val="center"/>
                </w:tcPr>
                <w:p>
                  <w:pPr>
                    <w:adjustRightInd w:val="0"/>
                    <w:snapToGrid w:val="0"/>
                    <w:jc w:val="center"/>
                    <w:textAlignment w:val="baseline"/>
                    <w:rPr>
                      <w:kern w:val="0"/>
                      <w:szCs w:val="21"/>
                    </w:rPr>
                  </w:pPr>
                </w:p>
              </w:tc>
              <w:tc>
                <w:tcPr>
                  <w:tcW w:w="1240" w:type="dxa"/>
                  <w:vMerge w:val="continue"/>
                  <w:tcBorders>
                    <w:tl2br w:val="nil"/>
                    <w:tr2bl w:val="nil"/>
                  </w:tcBorders>
                  <w:vAlign w:val="center"/>
                </w:tcPr>
                <w:p>
                  <w:pPr>
                    <w:adjustRightInd w:val="0"/>
                    <w:snapToGrid w:val="0"/>
                    <w:jc w:val="center"/>
                    <w:textAlignment w:val="baseline"/>
                    <w:rPr>
                      <w:kern w:val="0"/>
                      <w:szCs w:val="21"/>
                    </w:rPr>
                  </w:pPr>
                </w:p>
              </w:tc>
              <w:tc>
                <w:tcPr>
                  <w:tcW w:w="453" w:type="dxa"/>
                  <w:vMerge w:val="continue"/>
                  <w:tcBorders>
                    <w:tl2br w:val="nil"/>
                    <w:tr2bl w:val="nil"/>
                  </w:tcBorders>
                  <w:vAlign w:val="center"/>
                </w:tcPr>
                <w:p>
                  <w:pPr>
                    <w:adjustRightInd w:val="0"/>
                    <w:snapToGrid w:val="0"/>
                    <w:jc w:val="center"/>
                    <w:textAlignment w:val="baseline"/>
                    <w:rPr>
                      <w:kern w:val="0"/>
                      <w:szCs w:val="21"/>
                    </w:rPr>
                  </w:pPr>
                </w:p>
              </w:tc>
              <w:tc>
                <w:tcPr>
                  <w:tcW w:w="554"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名称</w:t>
                  </w:r>
                </w:p>
              </w:tc>
              <w:tc>
                <w:tcPr>
                  <w:tcW w:w="870"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污染物种类</w:t>
                  </w:r>
                </w:p>
              </w:tc>
              <w:tc>
                <w:tcPr>
                  <w:tcW w:w="1403"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国家或地方污染物排放标准浓度限值/（mg/L）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3" w:hRule="atLeast"/>
                <w:jc w:val="center"/>
              </w:trPr>
              <w:tc>
                <w:tcPr>
                  <w:tcW w:w="417"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rPr>
                    <w:t>1</w:t>
                  </w:r>
                </w:p>
              </w:tc>
              <w:tc>
                <w:tcPr>
                  <w:tcW w:w="506"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lang w:val="en-US" w:eastAsia="zh-CN"/>
                    </w:rPr>
                    <w:t>W</w:t>
                  </w:r>
                  <w:r>
                    <w:rPr>
                      <w:kern w:val="0"/>
                      <w:szCs w:val="21"/>
                    </w:rPr>
                    <w:t>1</w:t>
                  </w:r>
                </w:p>
              </w:tc>
              <w:tc>
                <w:tcPr>
                  <w:tcW w:w="792" w:type="dxa"/>
                  <w:vMerge w:val="restart"/>
                  <w:tcBorders>
                    <w:tl2br w:val="nil"/>
                    <w:tr2bl w:val="nil"/>
                  </w:tcBorders>
                  <w:vAlign w:val="center"/>
                </w:tcPr>
                <w:p>
                  <w:pPr>
                    <w:adjustRightInd w:val="0"/>
                    <w:snapToGrid w:val="0"/>
                    <w:jc w:val="center"/>
                    <w:textAlignment w:val="baseline"/>
                    <w:rPr>
                      <w:rFonts w:hint="eastAsia" w:ascii="Times New Roman" w:hAnsi="Times New Roman" w:cs="Times New Roman"/>
                      <w:kern w:val="0"/>
                      <w:szCs w:val="21"/>
                    </w:rPr>
                  </w:pPr>
                  <w:r>
                    <w:rPr>
                      <w:rFonts w:hint="eastAsia" w:ascii="Times New Roman" w:hAnsi="Times New Roman" w:cs="Times New Roman"/>
                      <w:kern w:val="0"/>
                      <w:szCs w:val="21"/>
                    </w:rPr>
                    <w:t>113°15'3.72"</w:t>
                  </w:r>
                </w:p>
              </w:tc>
              <w:tc>
                <w:tcPr>
                  <w:tcW w:w="676" w:type="dxa"/>
                  <w:vMerge w:val="restart"/>
                  <w:tcBorders>
                    <w:tl2br w:val="nil"/>
                    <w:tr2bl w:val="nil"/>
                  </w:tcBorders>
                  <w:vAlign w:val="center"/>
                </w:tcPr>
                <w:p>
                  <w:pPr>
                    <w:adjustRightInd w:val="0"/>
                    <w:snapToGrid w:val="0"/>
                    <w:jc w:val="center"/>
                    <w:textAlignment w:val="baseline"/>
                    <w:rPr>
                      <w:rFonts w:hint="eastAsia" w:ascii="Times New Roman" w:hAnsi="Times New Roman" w:cs="Times New Roman"/>
                      <w:kern w:val="0"/>
                      <w:szCs w:val="21"/>
                    </w:rPr>
                  </w:pPr>
                  <w:r>
                    <w:rPr>
                      <w:rFonts w:hint="eastAsia" w:ascii="Times New Roman" w:hAnsi="Times New Roman" w:cs="Times New Roman"/>
                      <w:kern w:val="0"/>
                      <w:szCs w:val="21"/>
                    </w:rPr>
                    <w:t>23°18'4.42"</w:t>
                  </w:r>
                </w:p>
              </w:tc>
              <w:tc>
                <w:tcPr>
                  <w:tcW w:w="668" w:type="dxa"/>
                  <w:vMerge w:val="restart"/>
                  <w:tcBorders>
                    <w:tl2br w:val="nil"/>
                    <w:tr2bl w:val="nil"/>
                  </w:tcBorders>
                  <w:vAlign w:val="center"/>
                </w:tcPr>
                <w:p>
                  <w:pPr>
                    <w:adjustRightInd w:val="0"/>
                    <w:snapToGrid w:val="0"/>
                    <w:jc w:val="center"/>
                    <w:textAlignment w:val="baseline"/>
                    <w:rPr>
                      <w:kern w:val="0"/>
                      <w:szCs w:val="21"/>
                    </w:rPr>
                  </w:pPr>
                  <w:r>
                    <w:rPr>
                      <w:kern w:val="0"/>
                      <w:szCs w:val="21"/>
                    </w:rPr>
                    <w:t>0.0</w:t>
                  </w:r>
                  <w:r>
                    <w:rPr>
                      <w:rFonts w:hint="eastAsia"/>
                      <w:kern w:val="0"/>
                      <w:szCs w:val="21"/>
                    </w:rPr>
                    <w:t>27</w:t>
                  </w:r>
                </w:p>
              </w:tc>
              <w:tc>
                <w:tcPr>
                  <w:tcW w:w="727" w:type="dxa"/>
                  <w:vMerge w:val="restart"/>
                  <w:tcBorders>
                    <w:tl2br w:val="nil"/>
                    <w:tr2bl w:val="nil"/>
                  </w:tcBorders>
                  <w:vAlign w:val="center"/>
                </w:tcPr>
                <w:p>
                  <w:pPr>
                    <w:adjustRightInd w:val="0"/>
                    <w:snapToGrid w:val="0"/>
                    <w:jc w:val="center"/>
                    <w:textAlignment w:val="baseline"/>
                    <w:rPr>
                      <w:kern w:val="0"/>
                      <w:szCs w:val="21"/>
                    </w:rPr>
                  </w:pPr>
                  <w:r>
                    <w:rPr>
                      <w:kern w:val="0"/>
                      <w:szCs w:val="21"/>
                    </w:rPr>
                    <w:t>进入城市污水处理厂</w:t>
                  </w:r>
                </w:p>
              </w:tc>
              <w:tc>
                <w:tcPr>
                  <w:tcW w:w="1240" w:type="dxa"/>
                  <w:vMerge w:val="restart"/>
                  <w:tcBorders>
                    <w:tl2br w:val="nil"/>
                    <w:tr2bl w:val="nil"/>
                  </w:tcBorders>
                  <w:vAlign w:val="center"/>
                </w:tcPr>
                <w:p>
                  <w:pPr>
                    <w:adjustRightInd w:val="0"/>
                    <w:snapToGrid w:val="0"/>
                    <w:jc w:val="center"/>
                    <w:textAlignment w:val="baseline"/>
                    <w:rPr>
                      <w:kern w:val="0"/>
                      <w:szCs w:val="21"/>
                    </w:rPr>
                  </w:pPr>
                  <w:r>
                    <w:rPr>
                      <w:kern w:val="0"/>
                      <w:szCs w:val="21"/>
                    </w:rPr>
                    <w:t>间接排放，排放期间流量不稳定且无规律，但不属于冲击型排放</w:t>
                  </w:r>
                </w:p>
              </w:tc>
              <w:tc>
                <w:tcPr>
                  <w:tcW w:w="453" w:type="dxa"/>
                  <w:vMerge w:val="restart"/>
                  <w:tcBorders>
                    <w:tl2br w:val="nil"/>
                    <w:tr2bl w:val="nil"/>
                  </w:tcBorders>
                  <w:vAlign w:val="center"/>
                </w:tcPr>
                <w:p>
                  <w:pPr>
                    <w:adjustRightInd w:val="0"/>
                    <w:snapToGrid w:val="0"/>
                    <w:jc w:val="center"/>
                    <w:textAlignment w:val="baseline"/>
                    <w:rPr>
                      <w:kern w:val="0"/>
                      <w:szCs w:val="21"/>
                    </w:rPr>
                  </w:pPr>
                  <w:r>
                    <w:rPr>
                      <w:kern w:val="0"/>
                      <w:szCs w:val="21"/>
                    </w:rPr>
                    <w:t>昼间</w:t>
                  </w:r>
                </w:p>
              </w:tc>
              <w:tc>
                <w:tcPr>
                  <w:tcW w:w="554" w:type="dxa"/>
                  <w:vMerge w:val="restart"/>
                  <w:tcBorders>
                    <w:tl2br w:val="nil"/>
                    <w:tr2bl w:val="nil"/>
                  </w:tcBorders>
                  <w:vAlign w:val="center"/>
                </w:tcPr>
                <w:p>
                  <w:pPr>
                    <w:adjustRightInd w:val="0"/>
                    <w:snapToGrid w:val="0"/>
                    <w:jc w:val="center"/>
                    <w:textAlignment w:val="baseline"/>
                    <w:rPr>
                      <w:kern w:val="0"/>
                      <w:szCs w:val="21"/>
                    </w:rPr>
                  </w:pPr>
                  <w:r>
                    <w:rPr>
                      <w:kern w:val="0"/>
                      <w:szCs w:val="21"/>
                    </w:rPr>
                    <w:t>龙归污水处理厂</w:t>
                  </w:r>
                </w:p>
              </w:tc>
              <w:tc>
                <w:tcPr>
                  <w:tcW w:w="870" w:type="dxa"/>
                  <w:tcBorders>
                    <w:tl2br w:val="nil"/>
                    <w:tr2bl w:val="nil"/>
                  </w:tcBorders>
                  <w:vAlign w:val="center"/>
                </w:tcPr>
                <w:p>
                  <w:pPr>
                    <w:adjustRightInd w:val="0"/>
                    <w:snapToGrid w:val="0"/>
                    <w:jc w:val="center"/>
                    <w:textAlignment w:val="baseline"/>
                    <w:rPr>
                      <w:kern w:val="0"/>
                      <w:szCs w:val="21"/>
                    </w:rPr>
                  </w:pPr>
                  <w:r>
                    <w:rPr>
                      <w:kern w:val="0"/>
                      <w:szCs w:val="21"/>
                    </w:rPr>
                    <w:t>COD</w:t>
                  </w:r>
                  <w:r>
                    <w:rPr>
                      <w:kern w:val="0"/>
                      <w:szCs w:val="21"/>
                      <w:vertAlign w:val="subscript"/>
                    </w:rPr>
                    <w:t>Cr</w:t>
                  </w:r>
                </w:p>
              </w:tc>
              <w:tc>
                <w:tcPr>
                  <w:tcW w:w="1403" w:type="dxa"/>
                  <w:tcBorders>
                    <w:tl2br w:val="nil"/>
                    <w:tr2bl w:val="nil"/>
                  </w:tcBorders>
                  <w:vAlign w:val="center"/>
                </w:tcPr>
                <w:p>
                  <w:pPr>
                    <w:adjustRightInd w:val="0"/>
                    <w:snapToGrid w:val="0"/>
                    <w:jc w:val="center"/>
                    <w:textAlignment w:val="baseline"/>
                    <w:rPr>
                      <w:kern w:val="0"/>
                      <w:szCs w:val="21"/>
                    </w:rPr>
                  </w:pPr>
                  <w:r>
                    <w:rPr>
                      <w:kern w:val="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jc w:val="center"/>
              </w:trPr>
              <w:tc>
                <w:tcPr>
                  <w:tcW w:w="417" w:type="dxa"/>
                  <w:vMerge w:val="continue"/>
                  <w:tcBorders>
                    <w:tl2br w:val="nil"/>
                    <w:tr2bl w:val="nil"/>
                  </w:tcBorders>
                  <w:vAlign w:val="center"/>
                </w:tcPr>
                <w:p>
                  <w:pPr>
                    <w:adjustRightInd w:val="0"/>
                    <w:snapToGrid w:val="0"/>
                    <w:jc w:val="center"/>
                    <w:textAlignment w:val="baseline"/>
                    <w:rPr>
                      <w:kern w:val="0"/>
                      <w:szCs w:val="21"/>
                    </w:rPr>
                  </w:pPr>
                </w:p>
              </w:tc>
              <w:tc>
                <w:tcPr>
                  <w:tcW w:w="506" w:type="dxa"/>
                  <w:vMerge w:val="continue"/>
                  <w:tcBorders>
                    <w:tl2br w:val="nil"/>
                    <w:tr2bl w:val="nil"/>
                  </w:tcBorders>
                  <w:vAlign w:val="center"/>
                </w:tcPr>
                <w:p>
                  <w:pPr>
                    <w:adjustRightInd w:val="0"/>
                    <w:snapToGrid w:val="0"/>
                    <w:jc w:val="center"/>
                    <w:textAlignment w:val="baseline"/>
                    <w:rPr>
                      <w:kern w:val="0"/>
                      <w:szCs w:val="21"/>
                    </w:rPr>
                  </w:pPr>
                </w:p>
              </w:tc>
              <w:tc>
                <w:tcPr>
                  <w:tcW w:w="792" w:type="dxa"/>
                  <w:vMerge w:val="continue"/>
                  <w:tcBorders>
                    <w:tl2br w:val="nil"/>
                    <w:tr2bl w:val="nil"/>
                  </w:tcBorders>
                  <w:vAlign w:val="center"/>
                </w:tcPr>
                <w:p>
                  <w:pPr>
                    <w:adjustRightInd w:val="0"/>
                    <w:snapToGrid w:val="0"/>
                    <w:jc w:val="center"/>
                    <w:textAlignment w:val="baseline"/>
                    <w:rPr>
                      <w:kern w:val="0"/>
                      <w:szCs w:val="21"/>
                    </w:rPr>
                  </w:pPr>
                </w:p>
              </w:tc>
              <w:tc>
                <w:tcPr>
                  <w:tcW w:w="676" w:type="dxa"/>
                  <w:vMerge w:val="continue"/>
                  <w:tcBorders>
                    <w:tl2br w:val="nil"/>
                    <w:tr2bl w:val="nil"/>
                  </w:tcBorders>
                  <w:vAlign w:val="center"/>
                </w:tcPr>
                <w:p>
                  <w:pPr>
                    <w:adjustRightInd w:val="0"/>
                    <w:snapToGrid w:val="0"/>
                    <w:jc w:val="center"/>
                    <w:textAlignment w:val="baseline"/>
                    <w:rPr>
                      <w:kern w:val="0"/>
                      <w:szCs w:val="21"/>
                    </w:rPr>
                  </w:pPr>
                </w:p>
              </w:tc>
              <w:tc>
                <w:tcPr>
                  <w:tcW w:w="668" w:type="dxa"/>
                  <w:vMerge w:val="continue"/>
                  <w:tcBorders>
                    <w:tl2br w:val="nil"/>
                    <w:tr2bl w:val="nil"/>
                  </w:tcBorders>
                  <w:vAlign w:val="center"/>
                </w:tcPr>
                <w:p>
                  <w:pPr>
                    <w:adjustRightInd w:val="0"/>
                    <w:snapToGrid w:val="0"/>
                    <w:jc w:val="center"/>
                    <w:textAlignment w:val="baseline"/>
                    <w:rPr>
                      <w:kern w:val="0"/>
                      <w:szCs w:val="21"/>
                    </w:rPr>
                  </w:pPr>
                </w:p>
              </w:tc>
              <w:tc>
                <w:tcPr>
                  <w:tcW w:w="727" w:type="dxa"/>
                  <w:vMerge w:val="continue"/>
                  <w:tcBorders>
                    <w:tl2br w:val="nil"/>
                    <w:tr2bl w:val="nil"/>
                  </w:tcBorders>
                  <w:vAlign w:val="center"/>
                </w:tcPr>
                <w:p>
                  <w:pPr>
                    <w:adjustRightInd w:val="0"/>
                    <w:snapToGrid w:val="0"/>
                    <w:jc w:val="center"/>
                    <w:textAlignment w:val="baseline"/>
                    <w:rPr>
                      <w:kern w:val="0"/>
                      <w:szCs w:val="21"/>
                    </w:rPr>
                  </w:pPr>
                </w:p>
              </w:tc>
              <w:tc>
                <w:tcPr>
                  <w:tcW w:w="1240" w:type="dxa"/>
                  <w:vMerge w:val="continue"/>
                  <w:tcBorders>
                    <w:tl2br w:val="nil"/>
                    <w:tr2bl w:val="nil"/>
                  </w:tcBorders>
                  <w:vAlign w:val="center"/>
                </w:tcPr>
                <w:p>
                  <w:pPr>
                    <w:adjustRightInd w:val="0"/>
                    <w:snapToGrid w:val="0"/>
                    <w:jc w:val="center"/>
                    <w:textAlignment w:val="baseline"/>
                    <w:rPr>
                      <w:kern w:val="0"/>
                      <w:szCs w:val="21"/>
                    </w:rPr>
                  </w:pPr>
                </w:p>
              </w:tc>
              <w:tc>
                <w:tcPr>
                  <w:tcW w:w="453" w:type="dxa"/>
                  <w:vMerge w:val="continue"/>
                  <w:tcBorders>
                    <w:tl2br w:val="nil"/>
                    <w:tr2bl w:val="nil"/>
                  </w:tcBorders>
                  <w:vAlign w:val="center"/>
                </w:tcPr>
                <w:p>
                  <w:pPr>
                    <w:adjustRightInd w:val="0"/>
                    <w:snapToGrid w:val="0"/>
                    <w:jc w:val="center"/>
                    <w:textAlignment w:val="baseline"/>
                    <w:rPr>
                      <w:kern w:val="0"/>
                      <w:szCs w:val="21"/>
                    </w:rPr>
                  </w:pPr>
                </w:p>
              </w:tc>
              <w:tc>
                <w:tcPr>
                  <w:tcW w:w="554" w:type="dxa"/>
                  <w:vMerge w:val="continue"/>
                  <w:tcBorders>
                    <w:tl2br w:val="nil"/>
                    <w:tr2bl w:val="nil"/>
                  </w:tcBorders>
                  <w:vAlign w:val="center"/>
                </w:tcPr>
                <w:p>
                  <w:pPr>
                    <w:adjustRightInd w:val="0"/>
                    <w:snapToGrid w:val="0"/>
                    <w:jc w:val="center"/>
                    <w:textAlignment w:val="baseline"/>
                    <w:rPr>
                      <w:kern w:val="0"/>
                      <w:szCs w:val="21"/>
                    </w:rPr>
                  </w:pPr>
                </w:p>
              </w:tc>
              <w:tc>
                <w:tcPr>
                  <w:tcW w:w="870" w:type="dxa"/>
                  <w:tcBorders>
                    <w:tl2br w:val="nil"/>
                    <w:tr2bl w:val="nil"/>
                  </w:tcBorders>
                  <w:vAlign w:val="center"/>
                </w:tcPr>
                <w:p>
                  <w:pPr>
                    <w:adjustRightInd w:val="0"/>
                    <w:snapToGrid w:val="0"/>
                    <w:jc w:val="center"/>
                    <w:textAlignment w:val="baseline"/>
                    <w:rPr>
                      <w:kern w:val="0"/>
                      <w:szCs w:val="21"/>
                    </w:rPr>
                  </w:pPr>
                  <w:r>
                    <w:rPr>
                      <w:kern w:val="0"/>
                      <w:szCs w:val="21"/>
                    </w:rPr>
                    <w:t>BOD</w:t>
                  </w:r>
                  <w:r>
                    <w:rPr>
                      <w:kern w:val="0"/>
                      <w:szCs w:val="21"/>
                      <w:vertAlign w:val="subscript"/>
                    </w:rPr>
                    <w:t>5</w:t>
                  </w:r>
                </w:p>
              </w:tc>
              <w:tc>
                <w:tcPr>
                  <w:tcW w:w="1403" w:type="dxa"/>
                  <w:tcBorders>
                    <w:tl2br w:val="nil"/>
                    <w:tr2bl w:val="nil"/>
                  </w:tcBorders>
                  <w:vAlign w:val="center"/>
                </w:tcPr>
                <w:p>
                  <w:pPr>
                    <w:adjustRightInd w:val="0"/>
                    <w:snapToGrid w:val="0"/>
                    <w:jc w:val="center"/>
                    <w:textAlignment w:val="baseline"/>
                    <w:rPr>
                      <w:kern w:val="0"/>
                      <w:szCs w:val="21"/>
                    </w:rPr>
                  </w:pPr>
                  <w:r>
                    <w:rPr>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4" w:hRule="atLeast"/>
                <w:jc w:val="center"/>
              </w:trPr>
              <w:tc>
                <w:tcPr>
                  <w:tcW w:w="417" w:type="dxa"/>
                  <w:vMerge w:val="continue"/>
                  <w:tcBorders>
                    <w:tl2br w:val="nil"/>
                    <w:tr2bl w:val="nil"/>
                  </w:tcBorders>
                  <w:vAlign w:val="center"/>
                </w:tcPr>
                <w:p>
                  <w:pPr>
                    <w:adjustRightInd w:val="0"/>
                    <w:snapToGrid w:val="0"/>
                    <w:jc w:val="center"/>
                    <w:textAlignment w:val="baseline"/>
                    <w:rPr>
                      <w:kern w:val="0"/>
                      <w:szCs w:val="21"/>
                    </w:rPr>
                  </w:pPr>
                </w:p>
              </w:tc>
              <w:tc>
                <w:tcPr>
                  <w:tcW w:w="506" w:type="dxa"/>
                  <w:vMerge w:val="continue"/>
                  <w:tcBorders>
                    <w:tl2br w:val="nil"/>
                    <w:tr2bl w:val="nil"/>
                  </w:tcBorders>
                  <w:vAlign w:val="center"/>
                </w:tcPr>
                <w:p>
                  <w:pPr>
                    <w:adjustRightInd w:val="0"/>
                    <w:snapToGrid w:val="0"/>
                    <w:jc w:val="center"/>
                    <w:textAlignment w:val="baseline"/>
                    <w:rPr>
                      <w:kern w:val="0"/>
                      <w:szCs w:val="21"/>
                    </w:rPr>
                  </w:pPr>
                </w:p>
              </w:tc>
              <w:tc>
                <w:tcPr>
                  <w:tcW w:w="792" w:type="dxa"/>
                  <w:vMerge w:val="continue"/>
                  <w:tcBorders>
                    <w:tl2br w:val="nil"/>
                    <w:tr2bl w:val="nil"/>
                  </w:tcBorders>
                  <w:vAlign w:val="center"/>
                </w:tcPr>
                <w:p>
                  <w:pPr>
                    <w:adjustRightInd w:val="0"/>
                    <w:snapToGrid w:val="0"/>
                    <w:jc w:val="center"/>
                    <w:textAlignment w:val="baseline"/>
                    <w:rPr>
                      <w:kern w:val="0"/>
                      <w:szCs w:val="21"/>
                    </w:rPr>
                  </w:pPr>
                </w:p>
              </w:tc>
              <w:tc>
                <w:tcPr>
                  <w:tcW w:w="676" w:type="dxa"/>
                  <w:vMerge w:val="continue"/>
                  <w:tcBorders>
                    <w:tl2br w:val="nil"/>
                    <w:tr2bl w:val="nil"/>
                  </w:tcBorders>
                  <w:vAlign w:val="center"/>
                </w:tcPr>
                <w:p>
                  <w:pPr>
                    <w:adjustRightInd w:val="0"/>
                    <w:snapToGrid w:val="0"/>
                    <w:jc w:val="center"/>
                    <w:textAlignment w:val="baseline"/>
                    <w:rPr>
                      <w:kern w:val="0"/>
                      <w:szCs w:val="21"/>
                    </w:rPr>
                  </w:pPr>
                </w:p>
              </w:tc>
              <w:tc>
                <w:tcPr>
                  <w:tcW w:w="668" w:type="dxa"/>
                  <w:vMerge w:val="continue"/>
                  <w:tcBorders>
                    <w:tl2br w:val="nil"/>
                    <w:tr2bl w:val="nil"/>
                  </w:tcBorders>
                  <w:vAlign w:val="center"/>
                </w:tcPr>
                <w:p>
                  <w:pPr>
                    <w:adjustRightInd w:val="0"/>
                    <w:snapToGrid w:val="0"/>
                    <w:jc w:val="center"/>
                    <w:textAlignment w:val="baseline"/>
                    <w:rPr>
                      <w:kern w:val="0"/>
                      <w:szCs w:val="21"/>
                    </w:rPr>
                  </w:pPr>
                </w:p>
              </w:tc>
              <w:tc>
                <w:tcPr>
                  <w:tcW w:w="727" w:type="dxa"/>
                  <w:vMerge w:val="continue"/>
                  <w:tcBorders>
                    <w:tl2br w:val="nil"/>
                    <w:tr2bl w:val="nil"/>
                  </w:tcBorders>
                  <w:vAlign w:val="center"/>
                </w:tcPr>
                <w:p>
                  <w:pPr>
                    <w:adjustRightInd w:val="0"/>
                    <w:snapToGrid w:val="0"/>
                    <w:jc w:val="center"/>
                    <w:textAlignment w:val="baseline"/>
                    <w:rPr>
                      <w:kern w:val="0"/>
                      <w:szCs w:val="21"/>
                    </w:rPr>
                  </w:pPr>
                </w:p>
              </w:tc>
              <w:tc>
                <w:tcPr>
                  <w:tcW w:w="1240" w:type="dxa"/>
                  <w:vMerge w:val="continue"/>
                  <w:tcBorders>
                    <w:tl2br w:val="nil"/>
                    <w:tr2bl w:val="nil"/>
                  </w:tcBorders>
                  <w:vAlign w:val="center"/>
                </w:tcPr>
                <w:p>
                  <w:pPr>
                    <w:adjustRightInd w:val="0"/>
                    <w:snapToGrid w:val="0"/>
                    <w:jc w:val="center"/>
                    <w:textAlignment w:val="baseline"/>
                    <w:rPr>
                      <w:kern w:val="0"/>
                      <w:szCs w:val="21"/>
                    </w:rPr>
                  </w:pPr>
                </w:p>
              </w:tc>
              <w:tc>
                <w:tcPr>
                  <w:tcW w:w="453" w:type="dxa"/>
                  <w:vMerge w:val="continue"/>
                  <w:tcBorders>
                    <w:tl2br w:val="nil"/>
                    <w:tr2bl w:val="nil"/>
                  </w:tcBorders>
                  <w:vAlign w:val="center"/>
                </w:tcPr>
                <w:p>
                  <w:pPr>
                    <w:adjustRightInd w:val="0"/>
                    <w:snapToGrid w:val="0"/>
                    <w:jc w:val="center"/>
                    <w:textAlignment w:val="baseline"/>
                    <w:rPr>
                      <w:kern w:val="0"/>
                      <w:szCs w:val="21"/>
                    </w:rPr>
                  </w:pPr>
                </w:p>
              </w:tc>
              <w:tc>
                <w:tcPr>
                  <w:tcW w:w="554" w:type="dxa"/>
                  <w:vMerge w:val="continue"/>
                  <w:tcBorders>
                    <w:tl2br w:val="nil"/>
                    <w:tr2bl w:val="nil"/>
                  </w:tcBorders>
                  <w:vAlign w:val="center"/>
                </w:tcPr>
                <w:p>
                  <w:pPr>
                    <w:adjustRightInd w:val="0"/>
                    <w:snapToGrid w:val="0"/>
                    <w:jc w:val="center"/>
                    <w:textAlignment w:val="baseline"/>
                    <w:rPr>
                      <w:kern w:val="0"/>
                      <w:szCs w:val="21"/>
                    </w:rPr>
                  </w:pPr>
                </w:p>
              </w:tc>
              <w:tc>
                <w:tcPr>
                  <w:tcW w:w="870" w:type="dxa"/>
                  <w:tcBorders>
                    <w:tl2br w:val="nil"/>
                    <w:tr2bl w:val="nil"/>
                  </w:tcBorders>
                  <w:vAlign w:val="center"/>
                </w:tcPr>
                <w:p>
                  <w:pPr>
                    <w:adjustRightInd w:val="0"/>
                    <w:snapToGrid w:val="0"/>
                    <w:jc w:val="center"/>
                    <w:textAlignment w:val="baseline"/>
                    <w:rPr>
                      <w:kern w:val="0"/>
                      <w:szCs w:val="21"/>
                    </w:rPr>
                  </w:pPr>
                  <w:r>
                    <w:rPr>
                      <w:kern w:val="0"/>
                      <w:szCs w:val="21"/>
                    </w:rPr>
                    <w:t>SS</w:t>
                  </w:r>
                </w:p>
              </w:tc>
              <w:tc>
                <w:tcPr>
                  <w:tcW w:w="1403" w:type="dxa"/>
                  <w:tcBorders>
                    <w:tl2br w:val="nil"/>
                    <w:tr2bl w:val="nil"/>
                  </w:tcBorders>
                  <w:vAlign w:val="center"/>
                </w:tcPr>
                <w:p>
                  <w:pPr>
                    <w:adjustRightInd w:val="0"/>
                    <w:snapToGrid w:val="0"/>
                    <w:jc w:val="center"/>
                    <w:textAlignment w:val="baseline"/>
                    <w:rPr>
                      <w:kern w:val="0"/>
                      <w:szCs w:val="21"/>
                    </w:rPr>
                  </w:pPr>
                  <w:r>
                    <w:rPr>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417" w:type="dxa"/>
                  <w:vMerge w:val="continue"/>
                  <w:tcBorders>
                    <w:tl2br w:val="nil"/>
                    <w:tr2bl w:val="nil"/>
                  </w:tcBorders>
                  <w:vAlign w:val="center"/>
                </w:tcPr>
                <w:p>
                  <w:pPr>
                    <w:adjustRightInd w:val="0"/>
                    <w:snapToGrid w:val="0"/>
                    <w:jc w:val="center"/>
                    <w:textAlignment w:val="baseline"/>
                    <w:rPr>
                      <w:kern w:val="0"/>
                      <w:szCs w:val="21"/>
                    </w:rPr>
                  </w:pPr>
                </w:p>
              </w:tc>
              <w:tc>
                <w:tcPr>
                  <w:tcW w:w="506" w:type="dxa"/>
                  <w:vMerge w:val="continue"/>
                  <w:tcBorders>
                    <w:tl2br w:val="nil"/>
                    <w:tr2bl w:val="nil"/>
                  </w:tcBorders>
                  <w:vAlign w:val="center"/>
                </w:tcPr>
                <w:p>
                  <w:pPr>
                    <w:adjustRightInd w:val="0"/>
                    <w:snapToGrid w:val="0"/>
                    <w:jc w:val="center"/>
                    <w:textAlignment w:val="baseline"/>
                    <w:rPr>
                      <w:kern w:val="0"/>
                      <w:szCs w:val="21"/>
                    </w:rPr>
                  </w:pPr>
                </w:p>
              </w:tc>
              <w:tc>
                <w:tcPr>
                  <w:tcW w:w="792" w:type="dxa"/>
                  <w:vMerge w:val="continue"/>
                  <w:tcBorders>
                    <w:tl2br w:val="nil"/>
                    <w:tr2bl w:val="nil"/>
                  </w:tcBorders>
                  <w:vAlign w:val="center"/>
                </w:tcPr>
                <w:p>
                  <w:pPr>
                    <w:adjustRightInd w:val="0"/>
                    <w:snapToGrid w:val="0"/>
                    <w:jc w:val="center"/>
                    <w:textAlignment w:val="baseline"/>
                    <w:rPr>
                      <w:kern w:val="0"/>
                      <w:szCs w:val="21"/>
                    </w:rPr>
                  </w:pPr>
                </w:p>
              </w:tc>
              <w:tc>
                <w:tcPr>
                  <w:tcW w:w="676" w:type="dxa"/>
                  <w:vMerge w:val="continue"/>
                  <w:tcBorders>
                    <w:tl2br w:val="nil"/>
                    <w:tr2bl w:val="nil"/>
                  </w:tcBorders>
                  <w:vAlign w:val="center"/>
                </w:tcPr>
                <w:p>
                  <w:pPr>
                    <w:adjustRightInd w:val="0"/>
                    <w:snapToGrid w:val="0"/>
                    <w:jc w:val="center"/>
                    <w:textAlignment w:val="baseline"/>
                    <w:rPr>
                      <w:kern w:val="0"/>
                      <w:szCs w:val="21"/>
                    </w:rPr>
                  </w:pPr>
                </w:p>
              </w:tc>
              <w:tc>
                <w:tcPr>
                  <w:tcW w:w="668" w:type="dxa"/>
                  <w:vMerge w:val="continue"/>
                  <w:tcBorders>
                    <w:tl2br w:val="nil"/>
                    <w:tr2bl w:val="nil"/>
                  </w:tcBorders>
                  <w:vAlign w:val="center"/>
                </w:tcPr>
                <w:p>
                  <w:pPr>
                    <w:adjustRightInd w:val="0"/>
                    <w:snapToGrid w:val="0"/>
                    <w:jc w:val="center"/>
                    <w:textAlignment w:val="baseline"/>
                    <w:rPr>
                      <w:kern w:val="0"/>
                      <w:szCs w:val="21"/>
                    </w:rPr>
                  </w:pPr>
                </w:p>
              </w:tc>
              <w:tc>
                <w:tcPr>
                  <w:tcW w:w="727" w:type="dxa"/>
                  <w:vMerge w:val="continue"/>
                  <w:tcBorders>
                    <w:tl2br w:val="nil"/>
                    <w:tr2bl w:val="nil"/>
                  </w:tcBorders>
                  <w:vAlign w:val="center"/>
                </w:tcPr>
                <w:p>
                  <w:pPr>
                    <w:adjustRightInd w:val="0"/>
                    <w:snapToGrid w:val="0"/>
                    <w:jc w:val="center"/>
                    <w:textAlignment w:val="baseline"/>
                    <w:rPr>
                      <w:kern w:val="0"/>
                      <w:szCs w:val="21"/>
                    </w:rPr>
                  </w:pPr>
                </w:p>
              </w:tc>
              <w:tc>
                <w:tcPr>
                  <w:tcW w:w="1240" w:type="dxa"/>
                  <w:vMerge w:val="continue"/>
                  <w:tcBorders>
                    <w:tl2br w:val="nil"/>
                    <w:tr2bl w:val="nil"/>
                  </w:tcBorders>
                  <w:vAlign w:val="center"/>
                </w:tcPr>
                <w:p>
                  <w:pPr>
                    <w:adjustRightInd w:val="0"/>
                    <w:snapToGrid w:val="0"/>
                    <w:jc w:val="center"/>
                    <w:textAlignment w:val="baseline"/>
                    <w:rPr>
                      <w:kern w:val="0"/>
                      <w:szCs w:val="21"/>
                    </w:rPr>
                  </w:pPr>
                </w:p>
              </w:tc>
              <w:tc>
                <w:tcPr>
                  <w:tcW w:w="453" w:type="dxa"/>
                  <w:vMerge w:val="continue"/>
                  <w:tcBorders>
                    <w:tl2br w:val="nil"/>
                    <w:tr2bl w:val="nil"/>
                  </w:tcBorders>
                  <w:vAlign w:val="center"/>
                </w:tcPr>
                <w:p>
                  <w:pPr>
                    <w:adjustRightInd w:val="0"/>
                    <w:snapToGrid w:val="0"/>
                    <w:jc w:val="center"/>
                    <w:textAlignment w:val="baseline"/>
                    <w:rPr>
                      <w:kern w:val="0"/>
                      <w:szCs w:val="21"/>
                    </w:rPr>
                  </w:pPr>
                </w:p>
              </w:tc>
              <w:tc>
                <w:tcPr>
                  <w:tcW w:w="554" w:type="dxa"/>
                  <w:vMerge w:val="continue"/>
                  <w:tcBorders>
                    <w:tl2br w:val="nil"/>
                    <w:tr2bl w:val="nil"/>
                  </w:tcBorders>
                  <w:vAlign w:val="center"/>
                </w:tcPr>
                <w:p>
                  <w:pPr>
                    <w:adjustRightInd w:val="0"/>
                    <w:snapToGrid w:val="0"/>
                    <w:jc w:val="center"/>
                    <w:textAlignment w:val="baseline"/>
                    <w:rPr>
                      <w:kern w:val="0"/>
                      <w:szCs w:val="21"/>
                    </w:rPr>
                  </w:pPr>
                </w:p>
              </w:tc>
              <w:tc>
                <w:tcPr>
                  <w:tcW w:w="870"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氨氮</w:t>
                  </w:r>
                </w:p>
              </w:tc>
              <w:tc>
                <w:tcPr>
                  <w:tcW w:w="1403" w:type="dxa"/>
                  <w:tcBorders>
                    <w:tl2br w:val="nil"/>
                    <w:tr2bl w:val="nil"/>
                  </w:tcBorders>
                  <w:vAlign w:val="center"/>
                </w:tcPr>
                <w:p>
                  <w:pPr>
                    <w:adjustRightInd w:val="0"/>
                    <w:snapToGrid w:val="0"/>
                    <w:jc w:val="center"/>
                    <w:textAlignment w:val="baseline"/>
                    <w:rPr>
                      <w:kern w:val="0"/>
                      <w:szCs w:val="21"/>
                    </w:rPr>
                  </w:pPr>
                  <w:r>
                    <w:rPr>
                      <w:kern w:val="0"/>
                      <w:szCs w:val="21"/>
                    </w:rPr>
                    <w:t>10</w:t>
                  </w:r>
                </w:p>
              </w:tc>
            </w:tr>
          </w:tbl>
          <w:p>
            <w:pPr>
              <w:snapToGrid w:val="0"/>
              <w:spacing w:line="360" w:lineRule="auto"/>
              <w:ind w:firstLine="482"/>
              <w:jc w:val="center"/>
              <w:rPr>
                <w:b/>
                <w:kern w:val="0"/>
                <w:szCs w:val="21"/>
              </w:rPr>
            </w:pPr>
            <w:r>
              <w:rPr>
                <w:b/>
                <w:kern w:val="0"/>
                <w:szCs w:val="21"/>
              </w:rPr>
              <w:t>表</w:t>
            </w:r>
            <w:r>
              <w:rPr>
                <w:rFonts w:hint="eastAsia"/>
                <w:b/>
                <w:kern w:val="0"/>
                <w:szCs w:val="21"/>
              </w:rPr>
              <w:t>7-3</w:t>
            </w:r>
            <w:r>
              <w:rPr>
                <w:b/>
                <w:kern w:val="0"/>
                <w:szCs w:val="21"/>
              </w:rPr>
              <w:t xml:space="preserve">  </w:t>
            </w:r>
            <w:r>
              <w:rPr>
                <w:rFonts w:hint="eastAsia"/>
                <w:b/>
                <w:kern w:val="0"/>
                <w:szCs w:val="21"/>
              </w:rPr>
              <w:t>废水污染物排放执行标准表</w:t>
            </w:r>
          </w:p>
          <w:tbl>
            <w:tblPr>
              <w:tblStyle w:val="15"/>
              <w:tblW w:w="82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8"/>
              <w:gridCol w:w="904"/>
              <w:gridCol w:w="1088"/>
              <w:gridCol w:w="2377"/>
              <w:gridCol w:w="32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18" w:type="dxa"/>
                  <w:vMerge w:val="restart"/>
                  <w:tcBorders>
                    <w:tl2br w:val="nil"/>
                    <w:tr2bl w:val="nil"/>
                  </w:tcBorders>
                  <w:vAlign w:val="center"/>
                </w:tcPr>
                <w:p>
                  <w:pPr>
                    <w:jc w:val="center"/>
                    <w:rPr>
                      <w:bCs/>
                      <w:kern w:val="0"/>
                      <w:szCs w:val="21"/>
                    </w:rPr>
                  </w:pPr>
                  <w:r>
                    <w:rPr>
                      <w:rFonts w:hint="eastAsia"/>
                      <w:bCs/>
                      <w:kern w:val="0"/>
                      <w:szCs w:val="21"/>
                    </w:rPr>
                    <w:t>序号</w:t>
                  </w:r>
                </w:p>
              </w:tc>
              <w:tc>
                <w:tcPr>
                  <w:tcW w:w="904" w:type="dxa"/>
                  <w:vMerge w:val="restart"/>
                  <w:tcBorders>
                    <w:tl2br w:val="nil"/>
                    <w:tr2bl w:val="nil"/>
                  </w:tcBorders>
                  <w:vAlign w:val="center"/>
                </w:tcPr>
                <w:p>
                  <w:pPr>
                    <w:jc w:val="center"/>
                    <w:rPr>
                      <w:bCs/>
                      <w:kern w:val="0"/>
                      <w:szCs w:val="21"/>
                    </w:rPr>
                  </w:pPr>
                  <w:r>
                    <w:rPr>
                      <w:rFonts w:hint="eastAsia"/>
                      <w:bCs/>
                      <w:kern w:val="0"/>
                      <w:szCs w:val="21"/>
                    </w:rPr>
                    <w:t>排放口编号</w:t>
                  </w:r>
                </w:p>
              </w:tc>
              <w:tc>
                <w:tcPr>
                  <w:tcW w:w="1088" w:type="dxa"/>
                  <w:vMerge w:val="restart"/>
                  <w:tcBorders>
                    <w:tl2br w:val="nil"/>
                    <w:tr2bl w:val="nil"/>
                  </w:tcBorders>
                  <w:vAlign w:val="center"/>
                </w:tcPr>
                <w:p>
                  <w:pPr>
                    <w:jc w:val="center"/>
                    <w:rPr>
                      <w:bCs/>
                      <w:kern w:val="0"/>
                      <w:szCs w:val="21"/>
                    </w:rPr>
                  </w:pPr>
                  <w:r>
                    <w:rPr>
                      <w:rFonts w:hint="eastAsia"/>
                      <w:bCs/>
                      <w:kern w:val="0"/>
                      <w:szCs w:val="21"/>
                    </w:rPr>
                    <w:t>污染物种类</w:t>
                  </w:r>
                </w:p>
              </w:tc>
              <w:tc>
                <w:tcPr>
                  <w:tcW w:w="5612" w:type="dxa"/>
                  <w:gridSpan w:val="2"/>
                  <w:tcBorders>
                    <w:tl2br w:val="nil"/>
                    <w:tr2bl w:val="nil"/>
                  </w:tcBorders>
                  <w:vAlign w:val="center"/>
                </w:tcPr>
                <w:p>
                  <w:pPr>
                    <w:jc w:val="center"/>
                    <w:rPr>
                      <w:bCs/>
                      <w:kern w:val="0"/>
                      <w:szCs w:val="21"/>
                    </w:rPr>
                  </w:pPr>
                  <w:r>
                    <w:rPr>
                      <w:rFonts w:hint="eastAsia"/>
                      <w:bCs/>
                      <w:kern w:val="0"/>
                      <w:szCs w:val="21"/>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18" w:type="dxa"/>
                  <w:vMerge w:val="continue"/>
                  <w:tcBorders>
                    <w:tl2br w:val="nil"/>
                    <w:tr2bl w:val="nil"/>
                  </w:tcBorders>
                  <w:vAlign w:val="center"/>
                </w:tcPr>
                <w:p>
                  <w:pPr>
                    <w:jc w:val="center"/>
                    <w:rPr>
                      <w:b/>
                      <w:kern w:val="0"/>
                      <w:szCs w:val="21"/>
                    </w:rPr>
                  </w:pPr>
                </w:p>
              </w:tc>
              <w:tc>
                <w:tcPr>
                  <w:tcW w:w="904" w:type="dxa"/>
                  <w:vMerge w:val="continue"/>
                  <w:tcBorders>
                    <w:tl2br w:val="nil"/>
                    <w:tr2bl w:val="nil"/>
                  </w:tcBorders>
                  <w:vAlign w:val="center"/>
                </w:tcPr>
                <w:p>
                  <w:pPr>
                    <w:jc w:val="center"/>
                    <w:rPr>
                      <w:b/>
                      <w:kern w:val="0"/>
                      <w:szCs w:val="21"/>
                    </w:rPr>
                  </w:pPr>
                </w:p>
              </w:tc>
              <w:tc>
                <w:tcPr>
                  <w:tcW w:w="1088" w:type="dxa"/>
                  <w:vMerge w:val="continue"/>
                  <w:tcBorders>
                    <w:tl2br w:val="nil"/>
                    <w:tr2bl w:val="nil"/>
                  </w:tcBorders>
                  <w:vAlign w:val="center"/>
                </w:tcPr>
                <w:p>
                  <w:pPr>
                    <w:jc w:val="center"/>
                    <w:rPr>
                      <w:b/>
                      <w:kern w:val="0"/>
                      <w:szCs w:val="21"/>
                    </w:rPr>
                  </w:pPr>
                </w:p>
              </w:tc>
              <w:tc>
                <w:tcPr>
                  <w:tcW w:w="2377" w:type="dxa"/>
                  <w:tcBorders>
                    <w:tl2br w:val="nil"/>
                    <w:tr2bl w:val="nil"/>
                  </w:tcBorders>
                  <w:vAlign w:val="center"/>
                </w:tcPr>
                <w:p>
                  <w:pPr>
                    <w:jc w:val="center"/>
                    <w:rPr>
                      <w:b/>
                      <w:kern w:val="0"/>
                      <w:szCs w:val="21"/>
                    </w:rPr>
                  </w:pPr>
                  <w:r>
                    <w:rPr>
                      <w:rFonts w:hint="eastAsia"/>
                      <w:bCs/>
                      <w:kern w:val="0"/>
                      <w:szCs w:val="21"/>
                    </w:rPr>
                    <w:t>名称</w:t>
                  </w:r>
                </w:p>
              </w:tc>
              <w:tc>
                <w:tcPr>
                  <w:tcW w:w="3235" w:type="dxa"/>
                  <w:tcBorders>
                    <w:tl2br w:val="nil"/>
                    <w:tr2bl w:val="nil"/>
                  </w:tcBorders>
                  <w:vAlign w:val="center"/>
                </w:tcPr>
                <w:p>
                  <w:pPr>
                    <w:jc w:val="center"/>
                    <w:rPr>
                      <w:b/>
                      <w:kern w:val="0"/>
                      <w:szCs w:val="21"/>
                    </w:rPr>
                  </w:pPr>
                  <w:r>
                    <w:rPr>
                      <w:rFonts w:hint="eastAsia"/>
                      <w:kern w:val="0"/>
                      <w:szCs w:val="21"/>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18" w:type="dxa"/>
                  <w:vMerge w:val="restart"/>
                  <w:tcBorders>
                    <w:tl2br w:val="nil"/>
                    <w:tr2bl w:val="nil"/>
                  </w:tcBorders>
                  <w:vAlign w:val="center"/>
                </w:tcPr>
                <w:p>
                  <w:pPr>
                    <w:jc w:val="center"/>
                    <w:textAlignment w:val="baseline"/>
                    <w:rPr>
                      <w:bCs/>
                      <w:kern w:val="0"/>
                      <w:szCs w:val="21"/>
                    </w:rPr>
                  </w:pPr>
                  <w:r>
                    <w:rPr>
                      <w:rFonts w:hint="eastAsia"/>
                      <w:bCs/>
                      <w:kern w:val="0"/>
                      <w:szCs w:val="21"/>
                    </w:rPr>
                    <w:t>1</w:t>
                  </w:r>
                </w:p>
              </w:tc>
              <w:tc>
                <w:tcPr>
                  <w:tcW w:w="904" w:type="dxa"/>
                  <w:vMerge w:val="restart"/>
                  <w:tcBorders>
                    <w:tl2br w:val="nil"/>
                    <w:tr2bl w:val="nil"/>
                  </w:tcBorders>
                  <w:vAlign w:val="center"/>
                </w:tcPr>
                <w:p>
                  <w:pPr>
                    <w:jc w:val="center"/>
                    <w:textAlignment w:val="baseline"/>
                    <w:rPr>
                      <w:bCs/>
                      <w:kern w:val="0"/>
                      <w:szCs w:val="21"/>
                    </w:rPr>
                  </w:pPr>
                  <w:r>
                    <w:rPr>
                      <w:rFonts w:hint="eastAsia"/>
                      <w:kern w:val="0"/>
                      <w:szCs w:val="21"/>
                      <w:lang w:val="en-US" w:eastAsia="zh-CN"/>
                    </w:rPr>
                    <w:t>W</w:t>
                  </w:r>
                  <w:r>
                    <w:rPr>
                      <w:kern w:val="0"/>
                      <w:szCs w:val="21"/>
                    </w:rPr>
                    <w:t>1</w:t>
                  </w:r>
                </w:p>
              </w:tc>
              <w:tc>
                <w:tcPr>
                  <w:tcW w:w="1088" w:type="dxa"/>
                  <w:tcBorders>
                    <w:tl2br w:val="nil"/>
                    <w:tr2bl w:val="nil"/>
                  </w:tcBorders>
                  <w:vAlign w:val="center"/>
                </w:tcPr>
                <w:p>
                  <w:pPr>
                    <w:jc w:val="center"/>
                    <w:textAlignment w:val="baseline"/>
                    <w:rPr>
                      <w:bCs/>
                      <w:kern w:val="0"/>
                      <w:szCs w:val="21"/>
                    </w:rPr>
                  </w:pPr>
                  <w:r>
                    <w:rPr>
                      <w:rFonts w:hint="eastAsia"/>
                      <w:kern w:val="0"/>
                      <w:szCs w:val="21"/>
                    </w:rPr>
                    <w:t>COD</w:t>
                  </w:r>
                  <w:r>
                    <w:rPr>
                      <w:rFonts w:hint="eastAsia"/>
                      <w:kern w:val="0"/>
                      <w:szCs w:val="21"/>
                      <w:vertAlign w:val="subscript"/>
                    </w:rPr>
                    <w:t>Cr</w:t>
                  </w:r>
                </w:p>
              </w:tc>
              <w:tc>
                <w:tcPr>
                  <w:tcW w:w="2377" w:type="dxa"/>
                  <w:vMerge w:val="restart"/>
                  <w:tcBorders>
                    <w:tl2br w:val="nil"/>
                    <w:tr2bl w:val="nil"/>
                  </w:tcBorders>
                  <w:vAlign w:val="center"/>
                </w:tcPr>
                <w:p>
                  <w:pPr>
                    <w:jc w:val="center"/>
                    <w:textAlignment w:val="baseline"/>
                    <w:rPr>
                      <w:bCs/>
                      <w:kern w:val="0"/>
                      <w:szCs w:val="21"/>
                    </w:rPr>
                  </w:pPr>
                  <w:r>
                    <w:rPr>
                      <w:rFonts w:hint="eastAsia"/>
                      <w:bCs/>
                      <w:kern w:val="0"/>
                      <w:szCs w:val="21"/>
                    </w:rPr>
                    <w:t>生活污水</w:t>
                  </w:r>
                </w:p>
              </w:tc>
              <w:tc>
                <w:tcPr>
                  <w:tcW w:w="3235" w:type="dxa"/>
                  <w:tcBorders>
                    <w:tl2br w:val="nil"/>
                    <w:tr2bl w:val="nil"/>
                  </w:tcBorders>
                  <w:vAlign w:val="center"/>
                </w:tcPr>
                <w:p>
                  <w:pPr>
                    <w:pStyle w:val="26"/>
                    <w:ind w:firstLine="0" w:firstLineChars="0"/>
                    <w:rPr>
                      <w:b/>
                      <w:kern w:val="0"/>
                      <w:szCs w:val="21"/>
                    </w:rPr>
                  </w:pPr>
                  <w: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18" w:type="dxa"/>
                  <w:vMerge w:val="continue"/>
                  <w:tcBorders>
                    <w:tl2br w:val="nil"/>
                    <w:tr2bl w:val="nil"/>
                  </w:tcBorders>
                  <w:vAlign w:val="center"/>
                </w:tcPr>
                <w:p>
                  <w:pPr>
                    <w:jc w:val="center"/>
                  </w:pPr>
                </w:p>
              </w:tc>
              <w:tc>
                <w:tcPr>
                  <w:tcW w:w="904" w:type="dxa"/>
                  <w:vMerge w:val="continue"/>
                  <w:tcBorders>
                    <w:tl2br w:val="nil"/>
                    <w:tr2bl w:val="nil"/>
                  </w:tcBorders>
                  <w:vAlign w:val="center"/>
                </w:tcPr>
                <w:p>
                  <w:pPr>
                    <w:jc w:val="center"/>
                  </w:pPr>
                </w:p>
              </w:tc>
              <w:tc>
                <w:tcPr>
                  <w:tcW w:w="1088" w:type="dxa"/>
                  <w:tcBorders>
                    <w:tl2br w:val="nil"/>
                    <w:tr2bl w:val="nil"/>
                  </w:tcBorders>
                  <w:vAlign w:val="center"/>
                </w:tcPr>
                <w:p>
                  <w:pPr>
                    <w:jc w:val="center"/>
                    <w:textAlignment w:val="baseline"/>
                  </w:pPr>
                  <w:r>
                    <w:rPr>
                      <w:rFonts w:hint="eastAsia"/>
                      <w:kern w:val="0"/>
                      <w:szCs w:val="21"/>
                    </w:rPr>
                    <w:t>BOD</w:t>
                  </w:r>
                  <w:r>
                    <w:rPr>
                      <w:rFonts w:hint="eastAsia"/>
                      <w:kern w:val="0"/>
                      <w:szCs w:val="21"/>
                      <w:vertAlign w:val="subscript"/>
                    </w:rPr>
                    <w:t>5</w:t>
                  </w:r>
                </w:p>
              </w:tc>
              <w:tc>
                <w:tcPr>
                  <w:tcW w:w="2377" w:type="dxa"/>
                  <w:vMerge w:val="continue"/>
                  <w:tcBorders>
                    <w:tl2br w:val="nil"/>
                    <w:tr2bl w:val="nil"/>
                  </w:tcBorders>
                  <w:vAlign w:val="center"/>
                </w:tcPr>
                <w:p>
                  <w:pPr>
                    <w:jc w:val="center"/>
                    <w:textAlignment w:val="baseline"/>
                    <w:rPr>
                      <w:b/>
                      <w:kern w:val="0"/>
                      <w:szCs w:val="21"/>
                    </w:rPr>
                  </w:pPr>
                </w:p>
              </w:tc>
              <w:tc>
                <w:tcPr>
                  <w:tcW w:w="3235" w:type="dxa"/>
                  <w:tcBorders>
                    <w:tl2br w:val="nil"/>
                    <w:tr2bl w:val="nil"/>
                  </w:tcBorders>
                  <w:vAlign w:val="center"/>
                </w:tcPr>
                <w:p>
                  <w:pPr>
                    <w:pStyle w:val="26"/>
                    <w:ind w:firstLine="0" w:firstLineChars="0"/>
                    <w:rPr>
                      <w:b/>
                      <w:kern w:val="0"/>
                      <w:szCs w:val="21"/>
                    </w:rPr>
                  </w:pPr>
                  <w: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18" w:type="dxa"/>
                  <w:vMerge w:val="continue"/>
                  <w:tcBorders>
                    <w:tl2br w:val="nil"/>
                    <w:tr2bl w:val="nil"/>
                  </w:tcBorders>
                  <w:vAlign w:val="center"/>
                </w:tcPr>
                <w:p>
                  <w:pPr>
                    <w:jc w:val="center"/>
                    <w:rPr>
                      <w:b/>
                      <w:kern w:val="0"/>
                      <w:szCs w:val="21"/>
                    </w:rPr>
                  </w:pPr>
                </w:p>
              </w:tc>
              <w:tc>
                <w:tcPr>
                  <w:tcW w:w="904" w:type="dxa"/>
                  <w:vMerge w:val="continue"/>
                  <w:tcBorders>
                    <w:tl2br w:val="nil"/>
                    <w:tr2bl w:val="nil"/>
                  </w:tcBorders>
                  <w:vAlign w:val="center"/>
                </w:tcPr>
                <w:p>
                  <w:pPr>
                    <w:jc w:val="center"/>
                    <w:rPr>
                      <w:b/>
                      <w:kern w:val="0"/>
                      <w:szCs w:val="21"/>
                    </w:rPr>
                  </w:pPr>
                </w:p>
              </w:tc>
              <w:tc>
                <w:tcPr>
                  <w:tcW w:w="1088" w:type="dxa"/>
                  <w:tcBorders>
                    <w:tl2br w:val="nil"/>
                    <w:tr2bl w:val="nil"/>
                  </w:tcBorders>
                  <w:vAlign w:val="center"/>
                </w:tcPr>
                <w:p>
                  <w:pPr>
                    <w:jc w:val="center"/>
                    <w:textAlignment w:val="baseline"/>
                    <w:rPr>
                      <w:b/>
                      <w:kern w:val="0"/>
                      <w:szCs w:val="21"/>
                    </w:rPr>
                  </w:pPr>
                  <w:r>
                    <w:rPr>
                      <w:rFonts w:hint="eastAsia"/>
                      <w:kern w:val="0"/>
                      <w:szCs w:val="21"/>
                    </w:rPr>
                    <w:t>SS</w:t>
                  </w:r>
                </w:p>
              </w:tc>
              <w:tc>
                <w:tcPr>
                  <w:tcW w:w="2377" w:type="dxa"/>
                  <w:vMerge w:val="continue"/>
                  <w:tcBorders>
                    <w:tl2br w:val="nil"/>
                    <w:tr2bl w:val="nil"/>
                  </w:tcBorders>
                  <w:vAlign w:val="center"/>
                </w:tcPr>
                <w:p>
                  <w:pPr>
                    <w:jc w:val="center"/>
                    <w:textAlignment w:val="baseline"/>
                    <w:rPr>
                      <w:b/>
                      <w:kern w:val="0"/>
                      <w:szCs w:val="21"/>
                    </w:rPr>
                  </w:pPr>
                </w:p>
              </w:tc>
              <w:tc>
                <w:tcPr>
                  <w:tcW w:w="3235" w:type="dxa"/>
                  <w:tcBorders>
                    <w:tl2br w:val="nil"/>
                    <w:tr2bl w:val="nil"/>
                  </w:tcBorders>
                  <w:vAlign w:val="center"/>
                </w:tcPr>
                <w:p>
                  <w:pPr>
                    <w:pStyle w:val="26"/>
                    <w:ind w:firstLine="0" w:firstLineChars="0"/>
                    <w:rPr>
                      <w:b/>
                      <w:kern w:val="0"/>
                      <w:szCs w:val="21"/>
                    </w:rPr>
                  </w:pPr>
                  <w: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18" w:type="dxa"/>
                  <w:vMerge w:val="continue"/>
                  <w:tcBorders>
                    <w:tl2br w:val="nil"/>
                    <w:tr2bl w:val="nil"/>
                  </w:tcBorders>
                  <w:vAlign w:val="center"/>
                </w:tcPr>
                <w:p>
                  <w:pPr>
                    <w:jc w:val="center"/>
                    <w:rPr>
                      <w:b/>
                      <w:kern w:val="0"/>
                      <w:szCs w:val="21"/>
                    </w:rPr>
                  </w:pPr>
                </w:p>
              </w:tc>
              <w:tc>
                <w:tcPr>
                  <w:tcW w:w="904" w:type="dxa"/>
                  <w:vMerge w:val="continue"/>
                  <w:tcBorders>
                    <w:tl2br w:val="nil"/>
                    <w:tr2bl w:val="nil"/>
                  </w:tcBorders>
                  <w:vAlign w:val="center"/>
                </w:tcPr>
                <w:p>
                  <w:pPr>
                    <w:jc w:val="center"/>
                    <w:rPr>
                      <w:b/>
                      <w:kern w:val="0"/>
                      <w:szCs w:val="21"/>
                    </w:rPr>
                  </w:pPr>
                </w:p>
              </w:tc>
              <w:tc>
                <w:tcPr>
                  <w:tcW w:w="1088" w:type="dxa"/>
                  <w:tcBorders>
                    <w:tl2br w:val="nil"/>
                    <w:tr2bl w:val="nil"/>
                  </w:tcBorders>
                  <w:vAlign w:val="center"/>
                </w:tcPr>
                <w:p>
                  <w:pPr>
                    <w:jc w:val="center"/>
                    <w:textAlignment w:val="baseline"/>
                    <w:rPr>
                      <w:b/>
                      <w:kern w:val="0"/>
                      <w:szCs w:val="21"/>
                    </w:rPr>
                  </w:pPr>
                  <w:r>
                    <w:rPr>
                      <w:rFonts w:hint="eastAsia"/>
                      <w:kern w:val="0"/>
                      <w:szCs w:val="21"/>
                    </w:rPr>
                    <w:t>氨氮</w:t>
                  </w:r>
                </w:p>
              </w:tc>
              <w:tc>
                <w:tcPr>
                  <w:tcW w:w="2377" w:type="dxa"/>
                  <w:vMerge w:val="continue"/>
                  <w:tcBorders>
                    <w:tl2br w:val="nil"/>
                    <w:tr2bl w:val="nil"/>
                  </w:tcBorders>
                  <w:vAlign w:val="center"/>
                </w:tcPr>
                <w:p>
                  <w:pPr>
                    <w:jc w:val="center"/>
                    <w:textAlignment w:val="baseline"/>
                    <w:rPr>
                      <w:b/>
                      <w:kern w:val="0"/>
                      <w:szCs w:val="21"/>
                    </w:rPr>
                  </w:pPr>
                </w:p>
              </w:tc>
              <w:tc>
                <w:tcPr>
                  <w:tcW w:w="3235" w:type="dxa"/>
                  <w:tcBorders>
                    <w:tl2br w:val="nil"/>
                    <w:tr2bl w:val="nil"/>
                  </w:tcBorders>
                  <w:vAlign w:val="center"/>
                </w:tcPr>
                <w:p>
                  <w:pPr>
                    <w:pStyle w:val="26"/>
                    <w:ind w:firstLine="0" w:firstLineChars="0"/>
                    <w:rPr>
                      <w:b/>
                      <w:kern w:val="0"/>
                      <w:szCs w:val="21"/>
                    </w:rPr>
                  </w:pPr>
                  <w:r>
                    <w:t>－</w:t>
                  </w:r>
                </w:p>
              </w:tc>
            </w:tr>
          </w:tbl>
          <w:p>
            <w:pPr>
              <w:snapToGrid w:val="0"/>
              <w:spacing w:line="360" w:lineRule="auto"/>
              <w:jc w:val="center"/>
              <w:rPr>
                <w:b/>
                <w:kern w:val="0"/>
                <w:szCs w:val="21"/>
              </w:rPr>
            </w:pPr>
            <w:r>
              <w:rPr>
                <w:b/>
                <w:kern w:val="0"/>
                <w:szCs w:val="21"/>
              </w:rPr>
              <w:t>表</w:t>
            </w:r>
            <w:r>
              <w:rPr>
                <w:rFonts w:hint="eastAsia"/>
                <w:b/>
                <w:kern w:val="0"/>
                <w:szCs w:val="21"/>
              </w:rPr>
              <w:t xml:space="preserve">7-4 </w:t>
            </w:r>
            <w:r>
              <w:rPr>
                <w:b/>
                <w:kern w:val="0"/>
                <w:szCs w:val="21"/>
              </w:rPr>
              <w:t xml:space="preserve"> </w:t>
            </w:r>
            <w:r>
              <w:rPr>
                <w:rFonts w:hint="eastAsia"/>
                <w:b/>
                <w:kern w:val="0"/>
                <w:szCs w:val="21"/>
              </w:rPr>
              <w:t>废水污染物排放信息表</w:t>
            </w:r>
          </w:p>
          <w:tbl>
            <w:tblPr>
              <w:tblStyle w:val="15"/>
              <w:tblW w:w="8306" w:type="dxa"/>
              <w:jc w:val="center"/>
              <w:tblInd w:w="0" w:type="dxa"/>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561"/>
              <w:gridCol w:w="859"/>
              <w:gridCol w:w="1817"/>
              <w:gridCol w:w="1849"/>
              <w:gridCol w:w="1670"/>
              <w:gridCol w:w="1550"/>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jc w:val="center"/>
              </w:trPr>
              <w:tc>
                <w:tcPr>
                  <w:tcW w:w="561"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序号</w:t>
                  </w:r>
                </w:p>
              </w:tc>
              <w:tc>
                <w:tcPr>
                  <w:tcW w:w="859"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排放口编号</w:t>
                  </w:r>
                </w:p>
              </w:tc>
              <w:tc>
                <w:tcPr>
                  <w:tcW w:w="1817"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污染物种类</w:t>
                  </w:r>
                </w:p>
              </w:tc>
              <w:tc>
                <w:tcPr>
                  <w:tcW w:w="1849"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排放浓度/（mg/L）</w:t>
                  </w:r>
                </w:p>
              </w:tc>
              <w:tc>
                <w:tcPr>
                  <w:tcW w:w="1670"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日排放量/（t/d）</w:t>
                  </w:r>
                </w:p>
              </w:tc>
              <w:tc>
                <w:tcPr>
                  <w:tcW w:w="1550" w:type="dxa"/>
                  <w:tcBorders>
                    <w:tl2br w:val="nil"/>
                    <w:tr2bl w:val="nil"/>
                  </w:tcBorders>
                  <w:vAlign w:val="center"/>
                </w:tcPr>
                <w:p>
                  <w:pPr>
                    <w:adjustRightInd w:val="0"/>
                    <w:snapToGrid w:val="0"/>
                    <w:jc w:val="center"/>
                    <w:textAlignment w:val="baseline"/>
                    <w:rPr>
                      <w:kern w:val="0"/>
                      <w:szCs w:val="21"/>
                    </w:rPr>
                  </w:pPr>
                  <w:r>
                    <w:rPr>
                      <w:rFonts w:hint="eastAsia"/>
                      <w:kern w:val="0"/>
                      <w:szCs w:val="21"/>
                    </w:rPr>
                    <w:t>年排放量/（t/a）</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561"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rPr>
                    <w:t>1</w:t>
                  </w:r>
                </w:p>
              </w:tc>
              <w:tc>
                <w:tcPr>
                  <w:tcW w:w="859" w:type="dxa"/>
                  <w:vMerge w:val="restart"/>
                  <w:tcBorders>
                    <w:tl2br w:val="nil"/>
                    <w:tr2bl w:val="nil"/>
                  </w:tcBorders>
                  <w:vAlign w:val="center"/>
                </w:tcPr>
                <w:p>
                  <w:pPr>
                    <w:adjustRightInd w:val="0"/>
                    <w:snapToGrid w:val="0"/>
                    <w:jc w:val="center"/>
                    <w:textAlignment w:val="baseline"/>
                    <w:rPr>
                      <w:kern w:val="0"/>
                      <w:szCs w:val="21"/>
                    </w:rPr>
                  </w:pPr>
                  <w:r>
                    <w:rPr>
                      <w:rFonts w:hint="eastAsia"/>
                      <w:kern w:val="0"/>
                      <w:szCs w:val="21"/>
                      <w:lang w:val="en-US" w:eastAsia="zh-CN"/>
                    </w:rPr>
                    <w:t>W</w:t>
                  </w:r>
                  <w:r>
                    <w:rPr>
                      <w:kern w:val="0"/>
                      <w:szCs w:val="21"/>
                    </w:rPr>
                    <w:t>1</w:t>
                  </w:r>
                </w:p>
              </w:tc>
              <w:tc>
                <w:tcPr>
                  <w:tcW w:w="1817" w:type="dxa"/>
                  <w:tcBorders>
                    <w:tl2br w:val="nil"/>
                    <w:tr2bl w:val="nil"/>
                  </w:tcBorders>
                  <w:vAlign w:val="center"/>
                </w:tcPr>
                <w:p>
                  <w:pPr>
                    <w:jc w:val="center"/>
                    <w:textAlignment w:val="baseline"/>
                    <w:rPr>
                      <w:kern w:val="0"/>
                      <w:szCs w:val="21"/>
                    </w:rPr>
                  </w:pPr>
                  <w:r>
                    <w:rPr>
                      <w:rFonts w:hint="eastAsia"/>
                      <w:kern w:val="0"/>
                      <w:szCs w:val="21"/>
                    </w:rPr>
                    <w:t>COD</w:t>
                  </w:r>
                  <w:r>
                    <w:rPr>
                      <w:rFonts w:hint="eastAsia"/>
                      <w:kern w:val="0"/>
                      <w:szCs w:val="21"/>
                      <w:vertAlign w:val="subscript"/>
                    </w:rPr>
                    <w:t>Cr</w:t>
                  </w:r>
                </w:p>
              </w:tc>
              <w:tc>
                <w:tcPr>
                  <w:tcW w:w="1849" w:type="dxa"/>
                  <w:tcBorders>
                    <w:tl2br w:val="nil"/>
                    <w:tr2bl w:val="nil"/>
                  </w:tcBorders>
                  <w:vAlign w:val="center"/>
                </w:tcPr>
                <w:p>
                  <w:pPr>
                    <w:jc w:val="center"/>
                    <w:textAlignment w:val="baseline"/>
                    <w:rPr>
                      <w:kern w:val="0"/>
                      <w:szCs w:val="21"/>
                    </w:rPr>
                  </w:pPr>
                  <w:r>
                    <w:rPr>
                      <w:rFonts w:hint="eastAsia"/>
                      <w:kern w:val="0"/>
                      <w:szCs w:val="21"/>
                    </w:rPr>
                    <w:t>250</w:t>
                  </w:r>
                </w:p>
              </w:tc>
              <w:tc>
                <w:tcPr>
                  <w:tcW w:w="1670" w:type="dxa"/>
                  <w:tcBorders>
                    <w:tl2br w:val="nil"/>
                    <w:tr2bl w:val="nil"/>
                  </w:tcBorders>
                  <w:vAlign w:val="center"/>
                </w:tcPr>
                <w:p>
                  <w:pPr>
                    <w:jc w:val="center"/>
                    <w:rPr>
                      <w:kern w:val="0"/>
                      <w:szCs w:val="21"/>
                    </w:rPr>
                  </w:pPr>
                  <w:r>
                    <w:rPr>
                      <w:color w:val="000000"/>
                      <w:szCs w:val="21"/>
                    </w:rPr>
                    <w:t xml:space="preserve">0.00023 </w:t>
                  </w:r>
                </w:p>
              </w:tc>
              <w:tc>
                <w:tcPr>
                  <w:tcW w:w="1550" w:type="dxa"/>
                  <w:tcBorders>
                    <w:tl2br w:val="nil"/>
                    <w:tr2bl w:val="nil"/>
                  </w:tcBorders>
                  <w:vAlign w:val="center"/>
                </w:tcPr>
                <w:p>
                  <w:pPr>
                    <w:jc w:val="center"/>
                    <w:rPr>
                      <w:kern w:val="0"/>
                      <w:szCs w:val="21"/>
                    </w:rPr>
                  </w:pPr>
                  <w:r>
                    <w:rPr>
                      <w:color w:val="000000"/>
                      <w:szCs w:val="21"/>
                    </w:rPr>
                    <w:t>0.068</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561" w:type="dxa"/>
                  <w:vMerge w:val="continue"/>
                  <w:tcBorders>
                    <w:tl2br w:val="nil"/>
                    <w:tr2bl w:val="nil"/>
                  </w:tcBorders>
                  <w:vAlign w:val="center"/>
                </w:tcPr>
                <w:p>
                  <w:pPr>
                    <w:adjustRightInd w:val="0"/>
                    <w:snapToGrid w:val="0"/>
                    <w:jc w:val="center"/>
                    <w:textAlignment w:val="baseline"/>
                    <w:rPr>
                      <w:kern w:val="0"/>
                      <w:szCs w:val="21"/>
                    </w:rPr>
                  </w:pPr>
                </w:p>
              </w:tc>
              <w:tc>
                <w:tcPr>
                  <w:tcW w:w="859" w:type="dxa"/>
                  <w:vMerge w:val="continue"/>
                  <w:tcBorders>
                    <w:tl2br w:val="nil"/>
                    <w:tr2bl w:val="nil"/>
                  </w:tcBorders>
                  <w:vAlign w:val="center"/>
                </w:tcPr>
                <w:p>
                  <w:pPr>
                    <w:adjustRightInd w:val="0"/>
                    <w:snapToGrid w:val="0"/>
                    <w:jc w:val="center"/>
                    <w:textAlignment w:val="baseline"/>
                    <w:rPr>
                      <w:kern w:val="0"/>
                      <w:szCs w:val="21"/>
                    </w:rPr>
                  </w:pPr>
                </w:p>
              </w:tc>
              <w:tc>
                <w:tcPr>
                  <w:tcW w:w="1817" w:type="dxa"/>
                  <w:tcBorders>
                    <w:tl2br w:val="nil"/>
                    <w:tr2bl w:val="nil"/>
                  </w:tcBorders>
                  <w:vAlign w:val="center"/>
                </w:tcPr>
                <w:p>
                  <w:pPr>
                    <w:jc w:val="center"/>
                    <w:textAlignment w:val="baseline"/>
                    <w:rPr>
                      <w:kern w:val="0"/>
                      <w:szCs w:val="21"/>
                    </w:rPr>
                  </w:pPr>
                  <w:r>
                    <w:rPr>
                      <w:rFonts w:hint="eastAsia"/>
                      <w:kern w:val="0"/>
                      <w:szCs w:val="21"/>
                    </w:rPr>
                    <w:t>BOD</w:t>
                  </w:r>
                  <w:r>
                    <w:rPr>
                      <w:rFonts w:hint="eastAsia"/>
                      <w:kern w:val="0"/>
                      <w:szCs w:val="21"/>
                      <w:vertAlign w:val="subscript"/>
                    </w:rPr>
                    <w:t>5</w:t>
                  </w:r>
                </w:p>
              </w:tc>
              <w:tc>
                <w:tcPr>
                  <w:tcW w:w="1849" w:type="dxa"/>
                  <w:tcBorders>
                    <w:tl2br w:val="nil"/>
                    <w:tr2bl w:val="nil"/>
                  </w:tcBorders>
                  <w:vAlign w:val="center"/>
                </w:tcPr>
                <w:p>
                  <w:pPr>
                    <w:jc w:val="center"/>
                    <w:textAlignment w:val="baseline"/>
                    <w:rPr>
                      <w:kern w:val="0"/>
                      <w:szCs w:val="21"/>
                    </w:rPr>
                  </w:pPr>
                  <w:r>
                    <w:rPr>
                      <w:rFonts w:hint="eastAsia"/>
                      <w:kern w:val="0"/>
                      <w:szCs w:val="21"/>
                    </w:rPr>
                    <w:t>150</w:t>
                  </w:r>
                </w:p>
              </w:tc>
              <w:tc>
                <w:tcPr>
                  <w:tcW w:w="1670" w:type="dxa"/>
                  <w:tcBorders>
                    <w:tl2br w:val="nil"/>
                    <w:tr2bl w:val="nil"/>
                  </w:tcBorders>
                  <w:vAlign w:val="center"/>
                </w:tcPr>
                <w:p>
                  <w:pPr>
                    <w:jc w:val="center"/>
                    <w:rPr>
                      <w:kern w:val="0"/>
                      <w:szCs w:val="21"/>
                    </w:rPr>
                  </w:pPr>
                  <w:r>
                    <w:rPr>
                      <w:color w:val="000000"/>
                      <w:szCs w:val="21"/>
                    </w:rPr>
                    <w:t xml:space="preserve">0.00014 </w:t>
                  </w:r>
                </w:p>
              </w:tc>
              <w:tc>
                <w:tcPr>
                  <w:tcW w:w="1550" w:type="dxa"/>
                  <w:tcBorders>
                    <w:tl2br w:val="nil"/>
                    <w:tr2bl w:val="nil"/>
                  </w:tcBorders>
                  <w:vAlign w:val="center"/>
                </w:tcPr>
                <w:p>
                  <w:pPr>
                    <w:jc w:val="center"/>
                    <w:rPr>
                      <w:kern w:val="0"/>
                      <w:szCs w:val="21"/>
                    </w:rPr>
                  </w:pPr>
                  <w:r>
                    <w:rPr>
                      <w:color w:val="000000"/>
                      <w:szCs w:val="21"/>
                    </w:rPr>
                    <w:t>0.041</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561" w:type="dxa"/>
                  <w:vMerge w:val="continue"/>
                  <w:tcBorders>
                    <w:tl2br w:val="nil"/>
                    <w:tr2bl w:val="nil"/>
                  </w:tcBorders>
                  <w:vAlign w:val="center"/>
                </w:tcPr>
                <w:p>
                  <w:pPr>
                    <w:adjustRightInd w:val="0"/>
                    <w:snapToGrid w:val="0"/>
                    <w:jc w:val="center"/>
                    <w:textAlignment w:val="baseline"/>
                    <w:rPr>
                      <w:kern w:val="0"/>
                      <w:szCs w:val="21"/>
                    </w:rPr>
                  </w:pPr>
                </w:p>
              </w:tc>
              <w:tc>
                <w:tcPr>
                  <w:tcW w:w="859" w:type="dxa"/>
                  <w:vMerge w:val="continue"/>
                  <w:tcBorders>
                    <w:tl2br w:val="nil"/>
                    <w:tr2bl w:val="nil"/>
                  </w:tcBorders>
                  <w:vAlign w:val="center"/>
                </w:tcPr>
                <w:p>
                  <w:pPr>
                    <w:adjustRightInd w:val="0"/>
                    <w:snapToGrid w:val="0"/>
                    <w:jc w:val="center"/>
                    <w:textAlignment w:val="baseline"/>
                    <w:rPr>
                      <w:kern w:val="0"/>
                      <w:szCs w:val="21"/>
                    </w:rPr>
                  </w:pPr>
                </w:p>
              </w:tc>
              <w:tc>
                <w:tcPr>
                  <w:tcW w:w="1817" w:type="dxa"/>
                  <w:tcBorders>
                    <w:tl2br w:val="nil"/>
                    <w:tr2bl w:val="nil"/>
                  </w:tcBorders>
                  <w:vAlign w:val="center"/>
                </w:tcPr>
                <w:p>
                  <w:pPr>
                    <w:jc w:val="center"/>
                    <w:textAlignment w:val="baseline"/>
                    <w:rPr>
                      <w:kern w:val="0"/>
                      <w:szCs w:val="21"/>
                    </w:rPr>
                  </w:pPr>
                  <w:r>
                    <w:rPr>
                      <w:rFonts w:hint="eastAsia"/>
                      <w:kern w:val="0"/>
                      <w:szCs w:val="21"/>
                    </w:rPr>
                    <w:t>SS</w:t>
                  </w:r>
                </w:p>
              </w:tc>
              <w:tc>
                <w:tcPr>
                  <w:tcW w:w="1849" w:type="dxa"/>
                  <w:tcBorders>
                    <w:tl2br w:val="nil"/>
                    <w:tr2bl w:val="nil"/>
                  </w:tcBorders>
                  <w:vAlign w:val="center"/>
                </w:tcPr>
                <w:p>
                  <w:pPr>
                    <w:jc w:val="center"/>
                    <w:textAlignment w:val="baseline"/>
                    <w:rPr>
                      <w:kern w:val="0"/>
                      <w:szCs w:val="21"/>
                    </w:rPr>
                  </w:pPr>
                  <w:r>
                    <w:rPr>
                      <w:rFonts w:hint="eastAsia"/>
                      <w:kern w:val="0"/>
                      <w:szCs w:val="21"/>
                    </w:rPr>
                    <w:t>100</w:t>
                  </w:r>
                </w:p>
              </w:tc>
              <w:tc>
                <w:tcPr>
                  <w:tcW w:w="1670" w:type="dxa"/>
                  <w:tcBorders>
                    <w:tl2br w:val="nil"/>
                    <w:tr2bl w:val="nil"/>
                  </w:tcBorders>
                  <w:vAlign w:val="center"/>
                </w:tcPr>
                <w:p>
                  <w:pPr>
                    <w:jc w:val="center"/>
                    <w:rPr>
                      <w:color w:val="000000"/>
                      <w:szCs w:val="21"/>
                    </w:rPr>
                  </w:pPr>
                  <w:r>
                    <w:rPr>
                      <w:color w:val="000000"/>
                      <w:szCs w:val="21"/>
                    </w:rPr>
                    <w:t xml:space="preserve">0.00009 </w:t>
                  </w:r>
                </w:p>
              </w:tc>
              <w:tc>
                <w:tcPr>
                  <w:tcW w:w="1550" w:type="dxa"/>
                  <w:tcBorders>
                    <w:tl2br w:val="nil"/>
                    <w:tr2bl w:val="nil"/>
                  </w:tcBorders>
                  <w:vAlign w:val="center"/>
                </w:tcPr>
                <w:p>
                  <w:pPr>
                    <w:jc w:val="center"/>
                    <w:rPr>
                      <w:bCs/>
                    </w:rPr>
                  </w:pPr>
                  <w:r>
                    <w:rPr>
                      <w:color w:val="000000"/>
                      <w:szCs w:val="21"/>
                    </w:rPr>
                    <w:t>0.027</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561" w:type="dxa"/>
                  <w:vMerge w:val="continue"/>
                  <w:tcBorders>
                    <w:tl2br w:val="nil"/>
                    <w:tr2bl w:val="nil"/>
                  </w:tcBorders>
                  <w:vAlign w:val="center"/>
                </w:tcPr>
                <w:p>
                  <w:pPr>
                    <w:adjustRightInd w:val="0"/>
                    <w:snapToGrid w:val="0"/>
                    <w:jc w:val="center"/>
                    <w:textAlignment w:val="baseline"/>
                    <w:rPr>
                      <w:kern w:val="0"/>
                      <w:szCs w:val="21"/>
                    </w:rPr>
                  </w:pPr>
                </w:p>
              </w:tc>
              <w:tc>
                <w:tcPr>
                  <w:tcW w:w="859" w:type="dxa"/>
                  <w:vMerge w:val="continue"/>
                  <w:tcBorders>
                    <w:tl2br w:val="nil"/>
                    <w:tr2bl w:val="nil"/>
                  </w:tcBorders>
                  <w:vAlign w:val="center"/>
                </w:tcPr>
                <w:p>
                  <w:pPr>
                    <w:adjustRightInd w:val="0"/>
                    <w:snapToGrid w:val="0"/>
                    <w:jc w:val="center"/>
                    <w:textAlignment w:val="baseline"/>
                    <w:rPr>
                      <w:kern w:val="0"/>
                      <w:szCs w:val="21"/>
                    </w:rPr>
                  </w:pPr>
                </w:p>
              </w:tc>
              <w:tc>
                <w:tcPr>
                  <w:tcW w:w="1817" w:type="dxa"/>
                  <w:tcBorders>
                    <w:tl2br w:val="nil"/>
                    <w:tr2bl w:val="nil"/>
                  </w:tcBorders>
                  <w:vAlign w:val="center"/>
                </w:tcPr>
                <w:p>
                  <w:pPr>
                    <w:jc w:val="center"/>
                    <w:textAlignment w:val="baseline"/>
                    <w:rPr>
                      <w:kern w:val="0"/>
                      <w:szCs w:val="21"/>
                    </w:rPr>
                  </w:pPr>
                  <w:r>
                    <w:rPr>
                      <w:rFonts w:hint="eastAsia"/>
                      <w:kern w:val="0"/>
                      <w:szCs w:val="21"/>
                    </w:rPr>
                    <w:t>氨氮</w:t>
                  </w:r>
                </w:p>
              </w:tc>
              <w:tc>
                <w:tcPr>
                  <w:tcW w:w="1849" w:type="dxa"/>
                  <w:tcBorders>
                    <w:tl2br w:val="nil"/>
                    <w:tr2bl w:val="nil"/>
                  </w:tcBorders>
                  <w:vAlign w:val="center"/>
                </w:tcPr>
                <w:p>
                  <w:pPr>
                    <w:jc w:val="center"/>
                    <w:textAlignment w:val="baseline"/>
                    <w:rPr>
                      <w:kern w:val="0"/>
                      <w:szCs w:val="21"/>
                    </w:rPr>
                  </w:pPr>
                  <w:r>
                    <w:rPr>
                      <w:rFonts w:hint="eastAsia"/>
                      <w:kern w:val="0"/>
                      <w:szCs w:val="21"/>
                    </w:rPr>
                    <w:t>20</w:t>
                  </w:r>
                </w:p>
              </w:tc>
              <w:tc>
                <w:tcPr>
                  <w:tcW w:w="1670" w:type="dxa"/>
                  <w:tcBorders>
                    <w:tl2br w:val="nil"/>
                    <w:tr2bl w:val="nil"/>
                  </w:tcBorders>
                  <w:vAlign w:val="center"/>
                </w:tcPr>
                <w:p>
                  <w:pPr>
                    <w:jc w:val="center"/>
                    <w:rPr>
                      <w:color w:val="000000"/>
                      <w:szCs w:val="21"/>
                    </w:rPr>
                  </w:pPr>
                  <w:r>
                    <w:rPr>
                      <w:color w:val="000000"/>
                      <w:szCs w:val="21"/>
                    </w:rPr>
                    <w:t xml:space="preserve">0.00002 </w:t>
                  </w:r>
                </w:p>
              </w:tc>
              <w:tc>
                <w:tcPr>
                  <w:tcW w:w="1550" w:type="dxa"/>
                  <w:tcBorders>
                    <w:tl2br w:val="nil"/>
                    <w:tr2bl w:val="nil"/>
                  </w:tcBorders>
                  <w:vAlign w:val="center"/>
                </w:tcPr>
                <w:p>
                  <w:pPr>
                    <w:jc w:val="center"/>
                    <w:rPr>
                      <w:bCs/>
                    </w:rPr>
                  </w:pPr>
                  <w:r>
                    <w:rPr>
                      <w:bCs/>
                    </w:rPr>
                    <w:t>0.00</w:t>
                  </w:r>
                  <w:r>
                    <w:rPr>
                      <w:rFonts w:hint="eastAsia"/>
                      <w:bCs/>
                    </w:rPr>
                    <w:t>5</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1420" w:type="dxa"/>
                  <w:gridSpan w:val="2"/>
                  <w:vMerge w:val="restart"/>
                  <w:tcBorders>
                    <w:tl2br w:val="nil"/>
                    <w:tr2bl w:val="nil"/>
                  </w:tcBorders>
                  <w:vAlign w:val="center"/>
                </w:tcPr>
                <w:p>
                  <w:pPr>
                    <w:adjustRightInd w:val="0"/>
                    <w:snapToGrid w:val="0"/>
                    <w:jc w:val="center"/>
                    <w:textAlignment w:val="baseline"/>
                    <w:rPr>
                      <w:kern w:val="0"/>
                      <w:szCs w:val="21"/>
                    </w:rPr>
                  </w:pPr>
                  <w:r>
                    <w:rPr>
                      <w:rFonts w:hint="eastAsia"/>
                    </w:rPr>
                    <w:t>全厂排放口合计</w:t>
                  </w:r>
                </w:p>
              </w:tc>
              <w:tc>
                <w:tcPr>
                  <w:tcW w:w="1817" w:type="dxa"/>
                  <w:tcBorders>
                    <w:tl2br w:val="nil"/>
                    <w:tr2bl w:val="nil"/>
                  </w:tcBorders>
                  <w:vAlign w:val="center"/>
                </w:tcPr>
                <w:p>
                  <w:pPr>
                    <w:jc w:val="center"/>
                    <w:textAlignment w:val="baseline"/>
                    <w:rPr>
                      <w:kern w:val="0"/>
                      <w:szCs w:val="21"/>
                    </w:rPr>
                  </w:pPr>
                  <w:r>
                    <w:rPr>
                      <w:rFonts w:hint="eastAsia"/>
                      <w:kern w:val="0"/>
                      <w:szCs w:val="21"/>
                    </w:rPr>
                    <w:t>COD</w:t>
                  </w:r>
                  <w:r>
                    <w:rPr>
                      <w:rFonts w:hint="eastAsia"/>
                      <w:kern w:val="0"/>
                      <w:szCs w:val="21"/>
                      <w:vertAlign w:val="subscript"/>
                    </w:rPr>
                    <w:t>Cr</w:t>
                  </w:r>
                </w:p>
              </w:tc>
              <w:tc>
                <w:tcPr>
                  <w:tcW w:w="1849" w:type="dxa"/>
                  <w:tcBorders>
                    <w:tl2br w:val="nil"/>
                    <w:tr2bl w:val="nil"/>
                  </w:tcBorders>
                  <w:vAlign w:val="center"/>
                </w:tcPr>
                <w:p>
                  <w:pPr>
                    <w:jc w:val="center"/>
                    <w:textAlignment w:val="baseline"/>
                    <w:rPr>
                      <w:kern w:val="0"/>
                      <w:szCs w:val="21"/>
                    </w:rPr>
                  </w:pPr>
                  <w:r>
                    <w:rPr>
                      <w:rFonts w:hint="eastAsia"/>
                      <w:kern w:val="0"/>
                      <w:szCs w:val="21"/>
                    </w:rPr>
                    <w:t>250</w:t>
                  </w:r>
                </w:p>
              </w:tc>
              <w:tc>
                <w:tcPr>
                  <w:tcW w:w="1670" w:type="dxa"/>
                  <w:tcBorders>
                    <w:tl2br w:val="nil"/>
                    <w:tr2bl w:val="nil"/>
                  </w:tcBorders>
                  <w:vAlign w:val="center"/>
                </w:tcPr>
                <w:p>
                  <w:pPr>
                    <w:jc w:val="center"/>
                    <w:rPr>
                      <w:color w:val="000000"/>
                      <w:szCs w:val="21"/>
                    </w:rPr>
                  </w:pPr>
                  <w:r>
                    <w:rPr>
                      <w:color w:val="000000"/>
                      <w:szCs w:val="21"/>
                    </w:rPr>
                    <w:t xml:space="preserve">0.00023 </w:t>
                  </w:r>
                </w:p>
              </w:tc>
              <w:tc>
                <w:tcPr>
                  <w:tcW w:w="1550" w:type="dxa"/>
                  <w:tcBorders>
                    <w:tl2br w:val="nil"/>
                    <w:tr2bl w:val="nil"/>
                  </w:tcBorders>
                  <w:vAlign w:val="center"/>
                </w:tcPr>
                <w:p>
                  <w:pPr>
                    <w:jc w:val="center"/>
                    <w:rPr>
                      <w:bCs/>
                    </w:rPr>
                  </w:pPr>
                  <w:r>
                    <w:rPr>
                      <w:color w:val="000000"/>
                      <w:szCs w:val="21"/>
                    </w:rPr>
                    <w:t>0.068</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1420" w:type="dxa"/>
                  <w:gridSpan w:val="2"/>
                  <w:vMerge w:val="continue"/>
                  <w:tcBorders>
                    <w:tl2br w:val="nil"/>
                    <w:tr2bl w:val="nil"/>
                  </w:tcBorders>
                  <w:vAlign w:val="center"/>
                </w:tcPr>
                <w:p>
                  <w:pPr>
                    <w:adjustRightInd w:val="0"/>
                    <w:snapToGrid w:val="0"/>
                    <w:jc w:val="center"/>
                    <w:textAlignment w:val="baseline"/>
                    <w:rPr>
                      <w:kern w:val="0"/>
                      <w:szCs w:val="21"/>
                    </w:rPr>
                  </w:pPr>
                </w:p>
              </w:tc>
              <w:tc>
                <w:tcPr>
                  <w:tcW w:w="1817" w:type="dxa"/>
                  <w:tcBorders>
                    <w:tl2br w:val="nil"/>
                    <w:tr2bl w:val="nil"/>
                  </w:tcBorders>
                  <w:vAlign w:val="center"/>
                </w:tcPr>
                <w:p>
                  <w:pPr>
                    <w:jc w:val="center"/>
                    <w:textAlignment w:val="baseline"/>
                    <w:rPr>
                      <w:kern w:val="0"/>
                      <w:szCs w:val="21"/>
                    </w:rPr>
                  </w:pPr>
                  <w:r>
                    <w:rPr>
                      <w:rFonts w:hint="eastAsia"/>
                      <w:kern w:val="0"/>
                      <w:szCs w:val="21"/>
                    </w:rPr>
                    <w:t>BOD</w:t>
                  </w:r>
                  <w:r>
                    <w:rPr>
                      <w:rFonts w:hint="eastAsia"/>
                      <w:kern w:val="0"/>
                      <w:szCs w:val="21"/>
                      <w:vertAlign w:val="subscript"/>
                    </w:rPr>
                    <w:t>5</w:t>
                  </w:r>
                </w:p>
              </w:tc>
              <w:tc>
                <w:tcPr>
                  <w:tcW w:w="1849" w:type="dxa"/>
                  <w:tcBorders>
                    <w:tl2br w:val="nil"/>
                    <w:tr2bl w:val="nil"/>
                  </w:tcBorders>
                  <w:vAlign w:val="center"/>
                </w:tcPr>
                <w:p>
                  <w:pPr>
                    <w:jc w:val="center"/>
                    <w:textAlignment w:val="baseline"/>
                    <w:rPr>
                      <w:kern w:val="0"/>
                      <w:szCs w:val="21"/>
                    </w:rPr>
                  </w:pPr>
                  <w:r>
                    <w:rPr>
                      <w:rFonts w:hint="eastAsia"/>
                      <w:kern w:val="0"/>
                      <w:szCs w:val="21"/>
                    </w:rPr>
                    <w:t>150</w:t>
                  </w:r>
                </w:p>
              </w:tc>
              <w:tc>
                <w:tcPr>
                  <w:tcW w:w="1670" w:type="dxa"/>
                  <w:tcBorders>
                    <w:tl2br w:val="nil"/>
                    <w:tr2bl w:val="nil"/>
                  </w:tcBorders>
                  <w:vAlign w:val="center"/>
                </w:tcPr>
                <w:p>
                  <w:pPr>
                    <w:jc w:val="center"/>
                    <w:rPr>
                      <w:color w:val="000000"/>
                      <w:szCs w:val="21"/>
                    </w:rPr>
                  </w:pPr>
                  <w:r>
                    <w:rPr>
                      <w:color w:val="000000"/>
                      <w:szCs w:val="21"/>
                    </w:rPr>
                    <w:t xml:space="preserve">0.00014 </w:t>
                  </w:r>
                </w:p>
              </w:tc>
              <w:tc>
                <w:tcPr>
                  <w:tcW w:w="1550" w:type="dxa"/>
                  <w:tcBorders>
                    <w:tl2br w:val="nil"/>
                    <w:tr2bl w:val="nil"/>
                  </w:tcBorders>
                  <w:vAlign w:val="center"/>
                </w:tcPr>
                <w:p>
                  <w:pPr>
                    <w:jc w:val="center"/>
                    <w:rPr>
                      <w:bCs/>
                    </w:rPr>
                  </w:pPr>
                  <w:r>
                    <w:rPr>
                      <w:color w:val="000000"/>
                      <w:szCs w:val="21"/>
                    </w:rPr>
                    <w:t>0.041</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1420" w:type="dxa"/>
                  <w:gridSpan w:val="2"/>
                  <w:vMerge w:val="continue"/>
                  <w:tcBorders>
                    <w:tl2br w:val="nil"/>
                    <w:tr2bl w:val="nil"/>
                  </w:tcBorders>
                  <w:vAlign w:val="center"/>
                </w:tcPr>
                <w:p>
                  <w:pPr>
                    <w:adjustRightInd w:val="0"/>
                    <w:snapToGrid w:val="0"/>
                    <w:jc w:val="center"/>
                    <w:textAlignment w:val="baseline"/>
                    <w:rPr>
                      <w:kern w:val="0"/>
                      <w:szCs w:val="21"/>
                    </w:rPr>
                  </w:pPr>
                </w:p>
              </w:tc>
              <w:tc>
                <w:tcPr>
                  <w:tcW w:w="1817" w:type="dxa"/>
                  <w:tcBorders>
                    <w:tl2br w:val="nil"/>
                    <w:tr2bl w:val="nil"/>
                  </w:tcBorders>
                  <w:vAlign w:val="center"/>
                </w:tcPr>
                <w:p>
                  <w:pPr>
                    <w:jc w:val="center"/>
                    <w:textAlignment w:val="baseline"/>
                    <w:rPr>
                      <w:kern w:val="0"/>
                      <w:szCs w:val="21"/>
                    </w:rPr>
                  </w:pPr>
                  <w:r>
                    <w:rPr>
                      <w:rFonts w:hint="eastAsia"/>
                      <w:kern w:val="0"/>
                      <w:szCs w:val="21"/>
                    </w:rPr>
                    <w:t>SS</w:t>
                  </w:r>
                </w:p>
              </w:tc>
              <w:tc>
                <w:tcPr>
                  <w:tcW w:w="1849" w:type="dxa"/>
                  <w:tcBorders>
                    <w:tl2br w:val="nil"/>
                    <w:tr2bl w:val="nil"/>
                  </w:tcBorders>
                  <w:vAlign w:val="center"/>
                </w:tcPr>
                <w:p>
                  <w:pPr>
                    <w:jc w:val="center"/>
                    <w:textAlignment w:val="baseline"/>
                    <w:rPr>
                      <w:kern w:val="0"/>
                      <w:szCs w:val="21"/>
                    </w:rPr>
                  </w:pPr>
                  <w:r>
                    <w:rPr>
                      <w:rFonts w:hint="eastAsia"/>
                      <w:kern w:val="0"/>
                      <w:szCs w:val="21"/>
                    </w:rPr>
                    <w:t>100</w:t>
                  </w:r>
                </w:p>
              </w:tc>
              <w:tc>
                <w:tcPr>
                  <w:tcW w:w="1670" w:type="dxa"/>
                  <w:tcBorders>
                    <w:tl2br w:val="nil"/>
                    <w:tr2bl w:val="nil"/>
                  </w:tcBorders>
                  <w:vAlign w:val="center"/>
                </w:tcPr>
                <w:p>
                  <w:pPr>
                    <w:jc w:val="center"/>
                    <w:rPr>
                      <w:color w:val="000000"/>
                      <w:szCs w:val="21"/>
                    </w:rPr>
                  </w:pPr>
                  <w:r>
                    <w:rPr>
                      <w:color w:val="000000"/>
                      <w:szCs w:val="21"/>
                    </w:rPr>
                    <w:t xml:space="preserve">0.00009 </w:t>
                  </w:r>
                </w:p>
              </w:tc>
              <w:tc>
                <w:tcPr>
                  <w:tcW w:w="1550" w:type="dxa"/>
                  <w:tcBorders>
                    <w:tl2br w:val="nil"/>
                    <w:tr2bl w:val="nil"/>
                  </w:tcBorders>
                  <w:vAlign w:val="center"/>
                </w:tcPr>
                <w:p>
                  <w:pPr>
                    <w:jc w:val="center"/>
                    <w:rPr>
                      <w:bCs/>
                    </w:rPr>
                  </w:pPr>
                  <w:r>
                    <w:rPr>
                      <w:color w:val="000000"/>
                      <w:szCs w:val="21"/>
                    </w:rPr>
                    <w:t>0.027</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Ex>
              <w:trPr>
                <w:trHeight w:val="340" w:hRule="atLeast"/>
                <w:jc w:val="center"/>
              </w:trPr>
              <w:tc>
                <w:tcPr>
                  <w:tcW w:w="1420" w:type="dxa"/>
                  <w:gridSpan w:val="2"/>
                  <w:vMerge w:val="continue"/>
                  <w:tcBorders>
                    <w:tl2br w:val="nil"/>
                    <w:tr2bl w:val="nil"/>
                  </w:tcBorders>
                  <w:vAlign w:val="center"/>
                </w:tcPr>
                <w:p>
                  <w:pPr>
                    <w:adjustRightInd w:val="0"/>
                    <w:snapToGrid w:val="0"/>
                    <w:jc w:val="center"/>
                    <w:textAlignment w:val="baseline"/>
                    <w:rPr>
                      <w:kern w:val="0"/>
                      <w:szCs w:val="21"/>
                    </w:rPr>
                  </w:pPr>
                </w:p>
              </w:tc>
              <w:tc>
                <w:tcPr>
                  <w:tcW w:w="1817" w:type="dxa"/>
                  <w:tcBorders>
                    <w:tl2br w:val="nil"/>
                    <w:tr2bl w:val="nil"/>
                  </w:tcBorders>
                  <w:vAlign w:val="center"/>
                </w:tcPr>
                <w:p>
                  <w:pPr>
                    <w:jc w:val="center"/>
                    <w:textAlignment w:val="baseline"/>
                    <w:rPr>
                      <w:kern w:val="0"/>
                      <w:szCs w:val="21"/>
                    </w:rPr>
                  </w:pPr>
                  <w:r>
                    <w:rPr>
                      <w:rFonts w:hint="eastAsia"/>
                      <w:kern w:val="0"/>
                      <w:szCs w:val="21"/>
                    </w:rPr>
                    <w:t>氨氮</w:t>
                  </w:r>
                </w:p>
              </w:tc>
              <w:tc>
                <w:tcPr>
                  <w:tcW w:w="1849" w:type="dxa"/>
                  <w:tcBorders>
                    <w:tl2br w:val="nil"/>
                    <w:tr2bl w:val="nil"/>
                  </w:tcBorders>
                  <w:vAlign w:val="center"/>
                </w:tcPr>
                <w:p>
                  <w:pPr>
                    <w:jc w:val="center"/>
                    <w:textAlignment w:val="baseline"/>
                    <w:rPr>
                      <w:kern w:val="0"/>
                      <w:szCs w:val="21"/>
                    </w:rPr>
                  </w:pPr>
                  <w:r>
                    <w:rPr>
                      <w:rFonts w:hint="eastAsia"/>
                      <w:kern w:val="0"/>
                      <w:szCs w:val="21"/>
                    </w:rPr>
                    <w:t>20</w:t>
                  </w:r>
                </w:p>
              </w:tc>
              <w:tc>
                <w:tcPr>
                  <w:tcW w:w="1670" w:type="dxa"/>
                  <w:tcBorders>
                    <w:tl2br w:val="nil"/>
                    <w:tr2bl w:val="nil"/>
                  </w:tcBorders>
                  <w:vAlign w:val="center"/>
                </w:tcPr>
                <w:p>
                  <w:pPr>
                    <w:jc w:val="center"/>
                    <w:rPr>
                      <w:color w:val="000000"/>
                      <w:szCs w:val="21"/>
                    </w:rPr>
                  </w:pPr>
                  <w:r>
                    <w:rPr>
                      <w:color w:val="000000"/>
                      <w:szCs w:val="21"/>
                    </w:rPr>
                    <w:t xml:space="preserve">0.00002 </w:t>
                  </w:r>
                </w:p>
              </w:tc>
              <w:tc>
                <w:tcPr>
                  <w:tcW w:w="1550" w:type="dxa"/>
                  <w:tcBorders>
                    <w:tl2br w:val="nil"/>
                    <w:tr2bl w:val="nil"/>
                  </w:tcBorders>
                  <w:vAlign w:val="center"/>
                </w:tcPr>
                <w:p>
                  <w:pPr>
                    <w:jc w:val="center"/>
                    <w:rPr>
                      <w:bCs/>
                    </w:rPr>
                  </w:pPr>
                  <w:r>
                    <w:rPr>
                      <w:bCs/>
                    </w:rPr>
                    <w:t>0.00</w:t>
                  </w:r>
                  <w:r>
                    <w:rPr>
                      <w:rFonts w:hint="eastAsia"/>
                      <w:bCs/>
                    </w:rPr>
                    <w:t>5</w:t>
                  </w:r>
                </w:p>
              </w:tc>
            </w:tr>
          </w:tbl>
          <w:p>
            <w:pPr>
              <w:pStyle w:val="25"/>
              <w:spacing w:line="360" w:lineRule="auto"/>
              <w:rPr>
                <w:b/>
                <w:szCs w:val="21"/>
              </w:rPr>
            </w:pPr>
            <w:r>
              <w:rPr>
                <w:rFonts w:hint="eastAsia"/>
                <w:b/>
                <w:szCs w:val="21"/>
              </w:rPr>
              <w:t>表7-5  环境监测计划及记录信息表</w:t>
            </w:r>
          </w:p>
          <w:tbl>
            <w:tblPr>
              <w:tblStyle w:val="16"/>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4"/>
              <w:gridCol w:w="659"/>
              <w:gridCol w:w="809"/>
              <w:gridCol w:w="660"/>
              <w:gridCol w:w="720"/>
              <w:gridCol w:w="1305"/>
              <w:gridCol w:w="660"/>
              <w:gridCol w:w="675"/>
              <w:gridCol w:w="855"/>
              <w:gridCol w:w="645"/>
              <w:gridCol w:w="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4" w:type="dxa"/>
                  <w:vAlign w:val="center"/>
                </w:tcPr>
                <w:p>
                  <w:pPr>
                    <w:pStyle w:val="26"/>
                    <w:ind w:firstLine="0" w:firstLineChars="0"/>
                    <w:rPr>
                      <w:bCs/>
                      <w:szCs w:val="21"/>
                    </w:rPr>
                  </w:pPr>
                  <w:r>
                    <w:rPr>
                      <w:rFonts w:hint="eastAsia"/>
                      <w:bCs/>
                      <w:szCs w:val="21"/>
                    </w:rPr>
                    <w:t>序号</w:t>
                  </w:r>
                </w:p>
              </w:tc>
              <w:tc>
                <w:tcPr>
                  <w:tcW w:w="659" w:type="dxa"/>
                  <w:vAlign w:val="center"/>
                </w:tcPr>
                <w:p>
                  <w:pPr>
                    <w:pStyle w:val="26"/>
                    <w:ind w:firstLine="0" w:firstLineChars="0"/>
                    <w:rPr>
                      <w:bCs/>
                      <w:szCs w:val="21"/>
                    </w:rPr>
                  </w:pPr>
                  <w:r>
                    <w:rPr>
                      <w:rFonts w:hint="eastAsia"/>
                      <w:bCs/>
                      <w:szCs w:val="21"/>
                    </w:rPr>
                    <w:t>排放口</w:t>
                  </w:r>
                </w:p>
                <w:p>
                  <w:pPr>
                    <w:pStyle w:val="26"/>
                    <w:ind w:firstLine="0" w:firstLineChars="0"/>
                    <w:rPr>
                      <w:bCs/>
                      <w:szCs w:val="21"/>
                    </w:rPr>
                  </w:pPr>
                  <w:r>
                    <w:rPr>
                      <w:rFonts w:hint="eastAsia"/>
                      <w:bCs/>
                      <w:szCs w:val="21"/>
                    </w:rPr>
                    <w:t>编号</w:t>
                  </w:r>
                </w:p>
              </w:tc>
              <w:tc>
                <w:tcPr>
                  <w:tcW w:w="809" w:type="dxa"/>
                  <w:vAlign w:val="center"/>
                </w:tcPr>
                <w:p>
                  <w:pPr>
                    <w:pStyle w:val="26"/>
                    <w:ind w:firstLine="0" w:firstLineChars="0"/>
                    <w:rPr>
                      <w:bCs/>
                      <w:szCs w:val="21"/>
                    </w:rPr>
                  </w:pPr>
                  <w:r>
                    <w:rPr>
                      <w:rFonts w:hint="eastAsia"/>
                      <w:bCs/>
                      <w:szCs w:val="21"/>
                    </w:rPr>
                    <w:t>污染物名称</w:t>
                  </w:r>
                </w:p>
              </w:tc>
              <w:tc>
                <w:tcPr>
                  <w:tcW w:w="660" w:type="dxa"/>
                  <w:vAlign w:val="center"/>
                </w:tcPr>
                <w:p>
                  <w:pPr>
                    <w:pStyle w:val="26"/>
                    <w:ind w:firstLine="0" w:firstLineChars="0"/>
                    <w:rPr>
                      <w:bCs/>
                      <w:szCs w:val="21"/>
                    </w:rPr>
                  </w:pPr>
                  <w:r>
                    <w:rPr>
                      <w:rFonts w:hint="eastAsia"/>
                      <w:bCs/>
                      <w:szCs w:val="21"/>
                    </w:rPr>
                    <w:t>监测设施</w:t>
                  </w:r>
                </w:p>
              </w:tc>
              <w:tc>
                <w:tcPr>
                  <w:tcW w:w="720" w:type="dxa"/>
                  <w:vAlign w:val="center"/>
                </w:tcPr>
                <w:p>
                  <w:pPr>
                    <w:pStyle w:val="26"/>
                    <w:ind w:firstLine="0" w:firstLineChars="0"/>
                    <w:rPr>
                      <w:bCs/>
                      <w:szCs w:val="21"/>
                    </w:rPr>
                  </w:pPr>
                  <w:r>
                    <w:rPr>
                      <w:rFonts w:hint="eastAsia"/>
                      <w:bCs/>
                      <w:szCs w:val="21"/>
                    </w:rPr>
                    <w:t>自动监测设施安装位置</w:t>
                  </w:r>
                </w:p>
              </w:tc>
              <w:tc>
                <w:tcPr>
                  <w:tcW w:w="1305" w:type="dxa"/>
                  <w:vAlign w:val="center"/>
                </w:tcPr>
                <w:p>
                  <w:pPr>
                    <w:pStyle w:val="26"/>
                    <w:ind w:firstLine="0" w:firstLineChars="0"/>
                    <w:rPr>
                      <w:bCs/>
                      <w:szCs w:val="21"/>
                    </w:rPr>
                  </w:pPr>
                  <w:r>
                    <w:rPr>
                      <w:rFonts w:hint="eastAsia"/>
                      <w:bCs/>
                      <w:szCs w:val="21"/>
                    </w:rPr>
                    <w:t>自动监测设施的安装、运行、维护等相关管理要求</w:t>
                  </w:r>
                </w:p>
              </w:tc>
              <w:tc>
                <w:tcPr>
                  <w:tcW w:w="660" w:type="dxa"/>
                  <w:vAlign w:val="center"/>
                </w:tcPr>
                <w:p>
                  <w:pPr>
                    <w:pStyle w:val="26"/>
                    <w:ind w:firstLine="0" w:firstLineChars="0"/>
                    <w:rPr>
                      <w:bCs/>
                      <w:szCs w:val="21"/>
                    </w:rPr>
                  </w:pPr>
                  <w:r>
                    <w:rPr>
                      <w:rFonts w:hint="eastAsia"/>
                      <w:bCs/>
                      <w:szCs w:val="21"/>
                    </w:rPr>
                    <w:t>自动监测</w:t>
                  </w:r>
                </w:p>
                <w:p>
                  <w:pPr>
                    <w:pStyle w:val="26"/>
                    <w:ind w:firstLine="0" w:firstLineChars="0"/>
                    <w:rPr>
                      <w:bCs/>
                      <w:szCs w:val="21"/>
                    </w:rPr>
                  </w:pPr>
                  <w:r>
                    <w:rPr>
                      <w:rFonts w:hint="eastAsia"/>
                      <w:bCs/>
                      <w:szCs w:val="21"/>
                    </w:rPr>
                    <w:t>是否联网</w:t>
                  </w:r>
                </w:p>
              </w:tc>
              <w:tc>
                <w:tcPr>
                  <w:tcW w:w="675" w:type="dxa"/>
                  <w:vAlign w:val="center"/>
                </w:tcPr>
                <w:p>
                  <w:pPr>
                    <w:pStyle w:val="26"/>
                    <w:ind w:firstLine="0" w:firstLineChars="0"/>
                    <w:rPr>
                      <w:bCs/>
                      <w:szCs w:val="21"/>
                    </w:rPr>
                  </w:pPr>
                  <w:r>
                    <w:rPr>
                      <w:rFonts w:hint="eastAsia"/>
                      <w:bCs/>
                      <w:szCs w:val="21"/>
                    </w:rPr>
                    <w:t>自动监测仪器名称</w:t>
                  </w:r>
                </w:p>
              </w:tc>
              <w:tc>
                <w:tcPr>
                  <w:tcW w:w="855" w:type="dxa"/>
                  <w:vAlign w:val="center"/>
                </w:tcPr>
                <w:p>
                  <w:pPr>
                    <w:pStyle w:val="26"/>
                    <w:ind w:firstLine="0" w:firstLineChars="0"/>
                    <w:rPr>
                      <w:bCs/>
                      <w:szCs w:val="21"/>
                    </w:rPr>
                  </w:pPr>
                  <w:r>
                    <w:rPr>
                      <w:rFonts w:hint="eastAsia"/>
                      <w:bCs/>
                      <w:szCs w:val="21"/>
                    </w:rPr>
                    <w:t>手工监测采样方法及个数</w:t>
                  </w:r>
                </w:p>
              </w:tc>
              <w:tc>
                <w:tcPr>
                  <w:tcW w:w="645" w:type="dxa"/>
                  <w:vAlign w:val="center"/>
                </w:tcPr>
                <w:p>
                  <w:pPr>
                    <w:pStyle w:val="26"/>
                    <w:ind w:firstLine="0" w:firstLineChars="0"/>
                    <w:rPr>
                      <w:bCs/>
                      <w:szCs w:val="21"/>
                    </w:rPr>
                  </w:pPr>
                  <w:r>
                    <w:rPr>
                      <w:rFonts w:hint="eastAsia"/>
                      <w:bCs/>
                      <w:szCs w:val="21"/>
                    </w:rPr>
                    <w:t>手工</w:t>
                  </w:r>
                </w:p>
                <w:p>
                  <w:pPr>
                    <w:pStyle w:val="26"/>
                    <w:ind w:firstLine="0" w:firstLineChars="0"/>
                    <w:rPr>
                      <w:bCs/>
                      <w:szCs w:val="21"/>
                    </w:rPr>
                  </w:pPr>
                  <w:r>
                    <w:rPr>
                      <w:rFonts w:hint="eastAsia"/>
                      <w:bCs/>
                      <w:szCs w:val="21"/>
                    </w:rPr>
                    <w:t>监测频次</w:t>
                  </w:r>
                </w:p>
              </w:tc>
              <w:tc>
                <w:tcPr>
                  <w:tcW w:w="954" w:type="dxa"/>
                  <w:vAlign w:val="center"/>
                </w:tcPr>
                <w:p>
                  <w:pPr>
                    <w:pStyle w:val="26"/>
                    <w:ind w:firstLine="0" w:firstLineChars="0"/>
                    <w:rPr>
                      <w:bCs/>
                      <w:szCs w:val="21"/>
                    </w:rPr>
                  </w:pPr>
                  <w:r>
                    <w:rPr>
                      <w:rFonts w:hint="eastAsia"/>
                      <w:bCs/>
                      <w:szCs w:val="21"/>
                    </w:rPr>
                    <w:t>手工</w:t>
                  </w:r>
                </w:p>
                <w:p>
                  <w:pPr>
                    <w:pStyle w:val="26"/>
                    <w:ind w:firstLine="0" w:firstLineChars="0"/>
                    <w:rPr>
                      <w:bCs/>
                      <w:szCs w:val="21"/>
                    </w:rPr>
                  </w:pPr>
                  <w:r>
                    <w:rPr>
                      <w:rFonts w:hint="eastAsia"/>
                      <w:bCs/>
                      <w:szCs w:val="21"/>
                    </w:rPr>
                    <w:t>测定方法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4" w:type="dxa"/>
                  <w:vAlign w:val="center"/>
                </w:tcPr>
                <w:p>
                  <w:pPr>
                    <w:pStyle w:val="26"/>
                    <w:ind w:firstLine="0" w:firstLineChars="0"/>
                    <w:rPr>
                      <w:bCs/>
                      <w:szCs w:val="21"/>
                    </w:rPr>
                  </w:pPr>
                  <w:r>
                    <w:rPr>
                      <w:rFonts w:hint="eastAsia"/>
                      <w:bCs/>
                      <w:szCs w:val="21"/>
                    </w:rPr>
                    <w:t>1</w:t>
                  </w:r>
                </w:p>
              </w:tc>
              <w:tc>
                <w:tcPr>
                  <w:tcW w:w="659" w:type="dxa"/>
                  <w:vAlign w:val="center"/>
                </w:tcPr>
                <w:p>
                  <w:pPr>
                    <w:pStyle w:val="26"/>
                    <w:ind w:firstLine="0" w:firstLineChars="0"/>
                    <w:rPr>
                      <w:bCs/>
                      <w:szCs w:val="21"/>
                    </w:rPr>
                  </w:pPr>
                  <w:r>
                    <w:rPr>
                      <w:rFonts w:hint="eastAsia"/>
                      <w:kern w:val="0"/>
                      <w:szCs w:val="21"/>
                      <w:lang w:val="en-US" w:eastAsia="zh-CN"/>
                    </w:rPr>
                    <w:t>W</w:t>
                  </w:r>
                  <w:r>
                    <w:rPr>
                      <w:rFonts w:hint="eastAsia"/>
                      <w:szCs w:val="21"/>
                    </w:rPr>
                    <w:t>1</w:t>
                  </w:r>
                </w:p>
              </w:tc>
              <w:tc>
                <w:tcPr>
                  <w:tcW w:w="809" w:type="dxa"/>
                  <w:vAlign w:val="center"/>
                </w:tcPr>
                <w:p>
                  <w:pPr>
                    <w:pStyle w:val="26"/>
                    <w:ind w:firstLine="0" w:firstLineChars="0"/>
                    <w:rPr>
                      <w:bCs/>
                      <w:szCs w:val="21"/>
                      <w:vertAlign w:val="subscript"/>
                    </w:rPr>
                  </w:pPr>
                  <w:r>
                    <w:rPr>
                      <w:rFonts w:hint="eastAsia"/>
                      <w:bCs/>
                      <w:szCs w:val="21"/>
                    </w:rPr>
                    <w:t>COD</w:t>
                  </w:r>
                  <w:r>
                    <w:rPr>
                      <w:rFonts w:hint="eastAsia"/>
                      <w:bCs/>
                      <w:szCs w:val="21"/>
                      <w:vertAlign w:val="subscript"/>
                    </w:rPr>
                    <w:t>Cr</w:t>
                  </w:r>
                </w:p>
                <w:p>
                  <w:pPr>
                    <w:pStyle w:val="26"/>
                    <w:ind w:firstLine="0" w:firstLineChars="0"/>
                    <w:rPr>
                      <w:bCs/>
                      <w:szCs w:val="21"/>
                      <w:vertAlign w:val="subscript"/>
                    </w:rPr>
                  </w:pPr>
                  <w:r>
                    <w:rPr>
                      <w:rFonts w:hint="eastAsia"/>
                      <w:bCs/>
                      <w:szCs w:val="21"/>
                    </w:rPr>
                    <w:t>BOD</w:t>
                  </w:r>
                  <w:r>
                    <w:rPr>
                      <w:rFonts w:hint="eastAsia"/>
                      <w:bCs/>
                      <w:szCs w:val="21"/>
                      <w:vertAlign w:val="subscript"/>
                    </w:rPr>
                    <w:t>5</w:t>
                  </w:r>
                </w:p>
                <w:p>
                  <w:pPr>
                    <w:pStyle w:val="26"/>
                    <w:ind w:firstLine="0" w:firstLineChars="0"/>
                    <w:rPr>
                      <w:bCs/>
                      <w:szCs w:val="21"/>
                    </w:rPr>
                  </w:pPr>
                  <w:r>
                    <w:rPr>
                      <w:rFonts w:hint="eastAsia"/>
                      <w:bCs/>
                      <w:szCs w:val="21"/>
                    </w:rPr>
                    <w:t>SS</w:t>
                  </w:r>
                </w:p>
                <w:p>
                  <w:pPr>
                    <w:pStyle w:val="26"/>
                    <w:ind w:firstLine="0" w:firstLineChars="0"/>
                    <w:rPr>
                      <w:bCs/>
                      <w:szCs w:val="21"/>
                    </w:rPr>
                  </w:pPr>
                  <w:r>
                    <w:rPr>
                      <w:rFonts w:hint="eastAsia"/>
                      <w:bCs/>
                      <w:szCs w:val="21"/>
                    </w:rPr>
                    <w:t>氨氮</w:t>
                  </w:r>
                </w:p>
              </w:tc>
              <w:tc>
                <w:tcPr>
                  <w:tcW w:w="660" w:type="dxa"/>
                  <w:vAlign w:val="center"/>
                </w:tcPr>
                <w:p>
                  <w:pPr>
                    <w:pStyle w:val="26"/>
                    <w:ind w:firstLine="0" w:firstLineChars="0"/>
                    <w:rPr>
                      <w:bCs/>
                      <w:szCs w:val="21"/>
                    </w:rPr>
                  </w:pPr>
                  <w:r>
                    <w:rPr>
                      <w:rFonts w:hint="eastAsia"/>
                      <w:szCs w:val="21"/>
                    </w:rPr>
                    <w:t>□</w:t>
                  </w:r>
                  <w:r>
                    <w:rPr>
                      <w:rFonts w:hint="eastAsia"/>
                      <w:bCs/>
                      <w:szCs w:val="21"/>
                    </w:rPr>
                    <w:t>自动</w:t>
                  </w:r>
                </w:p>
                <w:p>
                  <w:pPr>
                    <w:pStyle w:val="26"/>
                    <w:ind w:firstLine="0" w:firstLineChars="0"/>
                    <w:rPr>
                      <w:bCs/>
                      <w:szCs w:val="21"/>
                    </w:rPr>
                  </w:pPr>
                  <w:r>
                    <w:rPr>
                      <w:rFonts w:hint="eastAsia"/>
                      <w:szCs w:val="21"/>
                    </w:rPr>
                    <w:t>☑</w:t>
                  </w:r>
                  <w:r>
                    <w:rPr>
                      <w:rFonts w:hint="eastAsia"/>
                      <w:bCs/>
                      <w:szCs w:val="21"/>
                    </w:rPr>
                    <w:t>手工</w:t>
                  </w:r>
                </w:p>
              </w:tc>
              <w:tc>
                <w:tcPr>
                  <w:tcW w:w="720" w:type="dxa"/>
                  <w:vAlign w:val="center"/>
                </w:tcPr>
                <w:p>
                  <w:pPr>
                    <w:pStyle w:val="26"/>
                    <w:ind w:firstLine="0" w:firstLineChars="0"/>
                    <w:rPr>
                      <w:bCs/>
                      <w:szCs w:val="21"/>
                    </w:rPr>
                  </w:pPr>
                  <w:r>
                    <w:rPr>
                      <w:rFonts w:hint="eastAsia"/>
                      <w:bCs/>
                      <w:szCs w:val="21"/>
                    </w:rPr>
                    <w:t>/</w:t>
                  </w:r>
                </w:p>
              </w:tc>
              <w:tc>
                <w:tcPr>
                  <w:tcW w:w="1305" w:type="dxa"/>
                  <w:vAlign w:val="center"/>
                </w:tcPr>
                <w:p>
                  <w:pPr>
                    <w:pStyle w:val="26"/>
                    <w:ind w:firstLine="0" w:firstLineChars="0"/>
                    <w:rPr>
                      <w:bCs/>
                      <w:szCs w:val="21"/>
                    </w:rPr>
                  </w:pPr>
                  <w:r>
                    <w:rPr>
                      <w:rFonts w:hint="eastAsia"/>
                      <w:bCs/>
                      <w:szCs w:val="21"/>
                    </w:rPr>
                    <w:t>/</w:t>
                  </w:r>
                </w:p>
              </w:tc>
              <w:tc>
                <w:tcPr>
                  <w:tcW w:w="660" w:type="dxa"/>
                  <w:vAlign w:val="center"/>
                </w:tcPr>
                <w:p>
                  <w:pPr>
                    <w:pStyle w:val="26"/>
                    <w:ind w:firstLine="0" w:firstLineChars="0"/>
                    <w:rPr>
                      <w:bCs/>
                      <w:szCs w:val="21"/>
                    </w:rPr>
                  </w:pPr>
                  <w:r>
                    <w:rPr>
                      <w:rFonts w:hint="eastAsia"/>
                      <w:bCs/>
                      <w:szCs w:val="21"/>
                    </w:rPr>
                    <w:t>/</w:t>
                  </w:r>
                </w:p>
              </w:tc>
              <w:tc>
                <w:tcPr>
                  <w:tcW w:w="675" w:type="dxa"/>
                  <w:vAlign w:val="center"/>
                </w:tcPr>
                <w:p>
                  <w:pPr>
                    <w:pStyle w:val="26"/>
                    <w:ind w:firstLine="0" w:firstLineChars="0"/>
                    <w:rPr>
                      <w:bCs/>
                      <w:szCs w:val="21"/>
                    </w:rPr>
                  </w:pPr>
                  <w:r>
                    <w:rPr>
                      <w:rFonts w:hint="eastAsia"/>
                      <w:bCs/>
                      <w:szCs w:val="21"/>
                    </w:rPr>
                    <w:t>/</w:t>
                  </w:r>
                </w:p>
              </w:tc>
              <w:tc>
                <w:tcPr>
                  <w:tcW w:w="855" w:type="dxa"/>
                  <w:vAlign w:val="center"/>
                </w:tcPr>
                <w:p>
                  <w:pPr>
                    <w:pStyle w:val="26"/>
                    <w:ind w:firstLine="0" w:firstLineChars="0"/>
                    <w:rPr>
                      <w:bCs/>
                      <w:szCs w:val="21"/>
                    </w:rPr>
                  </w:pPr>
                  <w:r>
                    <w:rPr>
                      <w:rFonts w:hint="eastAsia"/>
                      <w:bCs/>
                      <w:szCs w:val="21"/>
                    </w:rPr>
                    <w:t>瞬时采样（1 个瞬时样）</w:t>
                  </w:r>
                </w:p>
              </w:tc>
              <w:tc>
                <w:tcPr>
                  <w:tcW w:w="645" w:type="dxa"/>
                  <w:vAlign w:val="center"/>
                </w:tcPr>
                <w:p>
                  <w:pPr>
                    <w:pStyle w:val="26"/>
                    <w:ind w:firstLine="0" w:firstLineChars="0"/>
                    <w:rPr>
                      <w:bCs/>
                      <w:szCs w:val="21"/>
                    </w:rPr>
                  </w:pPr>
                  <w:r>
                    <w:rPr>
                      <w:rFonts w:hint="eastAsia"/>
                      <w:bCs/>
                      <w:szCs w:val="21"/>
                    </w:rPr>
                    <w:t>1次/月</w:t>
                  </w:r>
                </w:p>
              </w:tc>
              <w:tc>
                <w:tcPr>
                  <w:tcW w:w="954" w:type="dxa"/>
                  <w:vAlign w:val="center"/>
                </w:tcPr>
                <w:p>
                  <w:pPr>
                    <w:pStyle w:val="26"/>
                    <w:ind w:firstLine="0" w:firstLineChars="0"/>
                    <w:rPr>
                      <w:bCs/>
                      <w:szCs w:val="21"/>
                    </w:rPr>
                  </w:pPr>
                  <w:r>
                    <w:rPr>
                      <w:rFonts w:hint="eastAsia"/>
                      <w:bCs/>
                      <w:szCs w:val="21"/>
                    </w:rPr>
                    <w:t>重铬酸钾法、水杨酸分光光度法</w:t>
                  </w:r>
                </w:p>
              </w:tc>
            </w:tr>
          </w:tbl>
          <w:p>
            <w:pPr>
              <w:pStyle w:val="25"/>
              <w:spacing w:line="360" w:lineRule="auto"/>
              <w:rPr>
                <w:b/>
                <w:szCs w:val="21"/>
              </w:rPr>
            </w:pPr>
            <w:r>
              <w:rPr>
                <w:rFonts w:hint="eastAsia"/>
                <w:b/>
                <w:szCs w:val="21"/>
              </w:rPr>
              <w:t>表7-6  地表水环境影响评价自查表</w:t>
            </w:r>
          </w:p>
          <w:tbl>
            <w:tblPr>
              <w:tblStyle w:val="16"/>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
              <w:gridCol w:w="1092"/>
              <w:gridCol w:w="1336"/>
              <w:gridCol w:w="102"/>
              <w:gridCol w:w="1043"/>
              <w:gridCol w:w="117"/>
              <w:gridCol w:w="354"/>
              <w:gridCol w:w="357"/>
              <w:gridCol w:w="550"/>
              <w:gridCol w:w="200"/>
              <w:gridCol w:w="130"/>
              <w:gridCol w:w="27"/>
              <w:gridCol w:w="1043"/>
              <w:gridCol w:w="382"/>
              <w:gridCol w:w="180"/>
              <w:gridCol w:w="10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397" w:hRule="atLeast"/>
                <w:tblHeader/>
                <w:jc w:val="center"/>
              </w:trPr>
              <w:tc>
                <w:tcPr>
                  <w:tcW w:w="1447" w:type="dxa"/>
                  <w:gridSpan w:val="2"/>
                  <w:vAlign w:val="center"/>
                </w:tcPr>
                <w:p>
                  <w:pPr>
                    <w:pStyle w:val="26"/>
                    <w:ind w:firstLine="0" w:firstLineChars="0"/>
                    <w:rPr>
                      <w:szCs w:val="21"/>
                    </w:rPr>
                  </w:pPr>
                  <w:r>
                    <w:rPr>
                      <w:rFonts w:hint="eastAsia"/>
                      <w:szCs w:val="21"/>
                    </w:rPr>
                    <w:t>工作内容</w:t>
                  </w:r>
                </w:p>
              </w:tc>
              <w:tc>
                <w:tcPr>
                  <w:tcW w:w="6849" w:type="dxa"/>
                  <w:gridSpan w:val="14"/>
                  <w:vAlign w:val="center"/>
                </w:tcPr>
                <w:p>
                  <w:pPr>
                    <w:pStyle w:val="26"/>
                    <w:ind w:firstLine="0" w:firstLineChars="0"/>
                    <w:rPr>
                      <w:szCs w:val="21"/>
                    </w:rPr>
                  </w:pPr>
                  <w:r>
                    <w:rPr>
                      <w:rFonts w:hint="eastAsia"/>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restart"/>
                  <w:vAlign w:val="center"/>
                </w:tcPr>
                <w:p>
                  <w:pPr>
                    <w:pStyle w:val="26"/>
                    <w:ind w:firstLine="0" w:firstLineChars="0"/>
                    <w:rPr>
                      <w:szCs w:val="21"/>
                    </w:rPr>
                  </w:pPr>
                  <w:r>
                    <w:rPr>
                      <w:rFonts w:hint="eastAsia"/>
                      <w:szCs w:val="21"/>
                    </w:rPr>
                    <w:t>影</w:t>
                  </w:r>
                </w:p>
                <w:p>
                  <w:pPr>
                    <w:pStyle w:val="26"/>
                    <w:ind w:firstLine="0" w:firstLineChars="0"/>
                    <w:rPr>
                      <w:szCs w:val="21"/>
                    </w:rPr>
                  </w:pPr>
                  <w:r>
                    <w:rPr>
                      <w:rFonts w:hint="eastAsia"/>
                      <w:szCs w:val="21"/>
                    </w:rPr>
                    <w:t>响</w:t>
                  </w:r>
                </w:p>
                <w:p>
                  <w:pPr>
                    <w:pStyle w:val="26"/>
                    <w:ind w:firstLine="0" w:firstLineChars="0"/>
                    <w:rPr>
                      <w:szCs w:val="21"/>
                    </w:rPr>
                  </w:pPr>
                  <w:r>
                    <w:rPr>
                      <w:rFonts w:hint="eastAsia"/>
                      <w:szCs w:val="21"/>
                    </w:rPr>
                    <w:t>识</w:t>
                  </w:r>
                </w:p>
                <w:p>
                  <w:pPr>
                    <w:pStyle w:val="26"/>
                    <w:ind w:firstLine="0" w:firstLineChars="0"/>
                    <w:rPr>
                      <w:szCs w:val="21"/>
                    </w:rPr>
                  </w:pPr>
                  <w:r>
                    <w:rPr>
                      <w:rFonts w:hint="eastAsia"/>
                      <w:szCs w:val="21"/>
                    </w:rPr>
                    <w:t>别</w:t>
                  </w:r>
                </w:p>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影响类型</w:t>
                  </w:r>
                </w:p>
              </w:tc>
              <w:tc>
                <w:tcPr>
                  <w:tcW w:w="6849" w:type="dxa"/>
                  <w:gridSpan w:val="14"/>
                  <w:vAlign w:val="center"/>
                </w:tcPr>
                <w:p>
                  <w:pPr>
                    <w:pStyle w:val="26"/>
                    <w:ind w:firstLine="0" w:firstLineChars="0"/>
                    <w:rPr>
                      <w:szCs w:val="21"/>
                    </w:rPr>
                  </w:pPr>
                  <w:r>
                    <w:rPr>
                      <w:rFonts w:hint="eastAsia"/>
                      <w:szCs w:val="21"/>
                    </w:rPr>
                    <w:t>水污染影响型☑；水文要素影响型□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水环境保护目标</w:t>
                  </w:r>
                </w:p>
              </w:tc>
              <w:tc>
                <w:tcPr>
                  <w:tcW w:w="6849" w:type="dxa"/>
                  <w:gridSpan w:val="14"/>
                  <w:vAlign w:val="center"/>
                </w:tcPr>
                <w:p>
                  <w:pPr>
                    <w:pStyle w:val="26"/>
                    <w:ind w:firstLine="0" w:firstLineChars="0"/>
                    <w:rPr>
                      <w:szCs w:val="21"/>
                    </w:rPr>
                  </w:pPr>
                  <w:r>
                    <w:rPr>
                      <w:rFonts w:hint="eastAsia"/>
                      <w:szCs w:val="21"/>
                    </w:rPr>
                    <w:t>饮用水水源保护区□；饮用水取水口□；涉水的自然保护区□；重要湿地□；重点保护与珍稀水生生物的栖息地□；重要水生生物的自然产卵场及索饵场、越冬场和洄游通道、天然渔场等渔业水体□；涉水的风景名胜区□；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restart"/>
                  <w:vAlign w:val="center"/>
                </w:tcPr>
                <w:p>
                  <w:pPr>
                    <w:pStyle w:val="26"/>
                    <w:ind w:firstLine="0" w:firstLineChars="0"/>
                    <w:rPr>
                      <w:szCs w:val="21"/>
                    </w:rPr>
                  </w:pPr>
                  <w:r>
                    <w:rPr>
                      <w:rFonts w:hint="eastAsia"/>
                      <w:szCs w:val="21"/>
                    </w:rPr>
                    <w:t>影响途径</w:t>
                  </w:r>
                </w:p>
              </w:tc>
              <w:tc>
                <w:tcPr>
                  <w:tcW w:w="4216" w:type="dxa"/>
                  <w:gridSpan w:val="10"/>
                  <w:vAlign w:val="center"/>
                </w:tcPr>
                <w:p>
                  <w:pPr>
                    <w:pStyle w:val="26"/>
                    <w:ind w:firstLine="0" w:firstLineChars="0"/>
                    <w:rPr>
                      <w:szCs w:val="21"/>
                    </w:rPr>
                  </w:pPr>
                  <w:r>
                    <w:rPr>
                      <w:rFonts w:hint="eastAsia"/>
                      <w:szCs w:val="21"/>
                    </w:rPr>
                    <w:t>水污染影响型</w:t>
                  </w:r>
                </w:p>
              </w:tc>
              <w:tc>
                <w:tcPr>
                  <w:tcW w:w="2633" w:type="dxa"/>
                  <w:gridSpan w:val="4"/>
                  <w:vAlign w:val="center"/>
                </w:tcPr>
                <w:p>
                  <w:pPr>
                    <w:pStyle w:val="26"/>
                    <w:ind w:firstLine="0" w:firstLineChars="0"/>
                    <w:rPr>
                      <w:szCs w:val="21"/>
                    </w:rPr>
                  </w:pPr>
                  <w:r>
                    <w:rPr>
                      <w:rFonts w:hint="eastAsia"/>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continue"/>
                  <w:vAlign w:val="center"/>
                </w:tcPr>
                <w:p>
                  <w:pPr>
                    <w:pStyle w:val="26"/>
                    <w:ind w:firstLine="0" w:firstLineChars="0"/>
                    <w:rPr>
                      <w:szCs w:val="21"/>
                    </w:rPr>
                  </w:pPr>
                </w:p>
              </w:tc>
              <w:tc>
                <w:tcPr>
                  <w:tcW w:w="4216" w:type="dxa"/>
                  <w:gridSpan w:val="10"/>
                  <w:vAlign w:val="center"/>
                </w:tcPr>
                <w:p>
                  <w:pPr>
                    <w:pStyle w:val="26"/>
                    <w:ind w:firstLine="0" w:firstLineChars="0"/>
                    <w:rPr>
                      <w:szCs w:val="21"/>
                    </w:rPr>
                  </w:pPr>
                  <w:r>
                    <w:rPr>
                      <w:rFonts w:hint="eastAsia"/>
                      <w:szCs w:val="21"/>
                    </w:rPr>
                    <w:t>直接排放□；间接排放☑；其他□</w:t>
                  </w:r>
                </w:p>
              </w:tc>
              <w:tc>
                <w:tcPr>
                  <w:tcW w:w="2633" w:type="dxa"/>
                  <w:gridSpan w:val="4"/>
                  <w:vAlign w:val="center"/>
                </w:tcPr>
                <w:p>
                  <w:pPr>
                    <w:pStyle w:val="26"/>
                    <w:ind w:firstLine="0" w:firstLineChars="0"/>
                    <w:rPr>
                      <w:szCs w:val="21"/>
                    </w:rPr>
                  </w:pPr>
                  <w:r>
                    <w:rPr>
                      <w:rFonts w:hint="eastAsia"/>
                      <w:szCs w:val="21"/>
                    </w:rPr>
                    <w:t>水温□；径流□；水域面积□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影响因子</w:t>
                  </w:r>
                </w:p>
              </w:tc>
              <w:tc>
                <w:tcPr>
                  <w:tcW w:w="4216" w:type="dxa"/>
                  <w:gridSpan w:val="10"/>
                  <w:vAlign w:val="center"/>
                </w:tcPr>
                <w:p>
                  <w:pPr>
                    <w:pStyle w:val="26"/>
                    <w:ind w:firstLine="0" w:firstLineChars="0"/>
                    <w:rPr>
                      <w:szCs w:val="21"/>
                    </w:rPr>
                  </w:pPr>
                  <w:r>
                    <w:rPr>
                      <w:rFonts w:hint="eastAsia"/>
                      <w:szCs w:val="21"/>
                    </w:rPr>
                    <w:t>持久性污染物□；有毒有害污染物□；</w:t>
                  </w:r>
                </w:p>
                <w:p>
                  <w:pPr>
                    <w:pStyle w:val="26"/>
                    <w:ind w:firstLine="0" w:firstLineChars="0"/>
                    <w:rPr>
                      <w:szCs w:val="21"/>
                    </w:rPr>
                  </w:pPr>
                  <w:r>
                    <w:rPr>
                      <w:rFonts w:hint="eastAsia"/>
                      <w:szCs w:val="21"/>
                    </w:rPr>
                    <w:t>非持久性污染物□；</w:t>
                  </w:r>
                </w:p>
                <w:p>
                  <w:pPr>
                    <w:pStyle w:val="26"/>
                    <w:ind w:firstLine="0" w:firstLineChars="0"/>
                    <w:rPr>
                      <w:szCs w:val="21"/>
                    </w:rPr>
                  </w:pPr>
                  <w:r>
                    <w:rPr>
                      <w:rFonts w:hint="eastAsia"/>
                      <w:szCs w:val="21"/>
                    </w:rPr>
                    <w:t>pH值☑；热污染□；富营养化☑；其他☑</w:t>
                  </w:r>
                </w:p>
              </w:tc>
              <w:tc>
                <w:tcPr>
                  <w:tcW w:w="2633" w:type="dxa"/>
                  <w:gridSpan w:val="4"/>
                  <w:vAlign w:val="center"/>
                </w:tcPr>
                <w:p>
                  <w:pPr>
                    <w:pStyle w:val="26"/>
                    <w:ind w:firstLine="0" w:firstLineChars="0"/>
                    <w:rPr>
                      <w:szCs w:val="21"/>
                    </w:rPr>
                  </w:pPr>
                  <w:r>
                    <w:rPr>
                      <w:rFonts w:hint="eastAsia"/>
                      <w:szCs w:val="21"/>
                    </w:rPr>
                    <w:t>水温□；水位（水深）□；流速□；流量□；其他□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1447" w:type="dxa"/>
                  <w:gridSpan w:val="2"/>
                  <w:vMerge w:val="restart"/>
                  <w:vAlign w:val="center"/>
                </w:tcPr>
                <w:p>
                  <w:pPr>
                    <w:pStyle w:val="26"/>
                    <w:ind w:firstLine="0" w:firstLineChars="0"/>
                    <w:rPr>
                      <w:szCs w:val="21"/>
                    </w:rPr>
                  </w:pPr>
                  <w:r>
                    <w:rPr>
                      <w:rFonts w:hint="eastAsia"/>
                      <w:szCs w:val="21"/>
                    </w:rPr>
                    <w:t>评价等级</w:t>
                  </w:r>
                </w:p>
              </w:tc>
              <w:tc>
                <w:tcPr>
                  <w:tcW w:w="4216" w:type="dxa"/>
                  <w:gridSpan w:val="10"/>
                  <w:vAlign w:val="center"/>
                </w:tcPr>
                <w:p>
                  <w:pPr>
                    <w:pStyle w:val="26"/>
                    <w:ind w:firstLine="0" w:firstLineChars="0"/>
                    <w:rPr>
                      <w:szCs w:val="21"/>
                    </w:rPr>
                  </w:pPr>
                  <w:r>
                    <w:rPr>
                      <w:rFonts w:hint="eastAsia"/>
                      <w:szCs w:val="21"/>
                    </w:rPr>
                    <w:t>水污染影响型</w:t>
                  </w:r>
                </w:p>
              </w:tc>
              <w:tc>
                <w:tcPr>
                  <w:tcW w:w="2633" w:type="dxa"/>
                  <w:gridSpan w:val="4"/>
                  <w:vAlign w:val="center"/>
                </w:tcPr>
                <w:p>
                  <w:pPr>
                    <w:pStyle w:val="26"/>
                    <w:ind w:firstLine="0" w:firstLineChars="0"/>
                    <w:rPr>
                      <w:szCs w:val="21"/>
                    </w:rPr>
                  </w:pPr>
                  <w:r>
                    <w:rPr>
                      <w:rFonts w:hint="eastAsia"/>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1447" w:type="dxa"/>
                  <w:gridSpan w:val="2"/>
                  <w:vMerge w:val="continue"/>
                  <w:vAlign w:val="center"/>
                </w:tcPr>
                <w:p>
                  <w:pPr>
                    <w:pStyle w:val="26"/>
                    <w:ind w:firstLine="0" w:firstLineChars="0"/>
                    <w:rPr>
                      <w:szCs w:val="21"/>
                    </w:rPr>
                  </w:pPr>
                </w:p>
              </w:tc>
              <w:tc>
                <w:tcPr>
                  <w:tcW w:w="4216" w:type="dxa"/>
                  <w:gridSpan w:val="10"/>
                  <w:vAlign w:val="center"/>
                </w:tcPr>
                <w:p>
                  <w:pPr>
                    <w:pStyle w:val="26"/>
                    <w:ind w:firstLine="0" w:firstLineChars="0"/>
                    <w:rPr>
                      <w:szCs w:val="21"/>
                    </w:rPr>
                  </w:pPr>
                  <w:r>
                    <w:rPr>
                      <w:rFonts w:hint="eastAsia"/>
                      <w:szCs w:val="21"/>
                    </w:rPr>
                    <w:t>一级□；二级□；三级 A □；三级 B ☑</w:t>
                  </w:r>
                </w:p>
              </w:tc>
              <w:tc>
                <w:tcPr>
                  <w:tcW w:w="2633" w:type="dxa"/>
                  <w:gridSpan w:val="4"/>
                  <w:vAlign w:val="center"/>
                </w:tcPr>
                <w:p>
                  <w:pPr>
                    <w:pStyle w:val="26"/>
                    <w:ind w:firstLine="0" w:firstLineChars="0"/>
                    <w:rPr>
                      <w:szCs w:val="21"/>
                    </w:rPr>
                  </w:pPr>
                  <w:r>
                    <w:rPr>
                      <w:rFonts w:hint="eastAsia"/>
                      <w:szCs w:val="21"/>
                    </w:rPr>
                    <w:t>一级□；二级□；三级□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restart"/>
                  <w:vAlign w:val="center"/>
                </w:tcPr>
                <w:p>
                  <w:pPr>
                    <w:pStyle w:val="26"/>
                    <w:ind w:firstLine="0" w:firstLineChars="0"/>
                    <w:rPr>
                      <w:szCs w:val="21"/>
                    </w:rPr>
                  </w:pPr>
                  <w:r>
                    <w:rPr>
                      <w:rFonts w:hint="eastAsia"/>
                      <w:szCs w:val="21"/>
                    </w:rPr>
                    <w:t>现</w:t>
                  </w:r>
                </w:p>
                <w:p>
                  <w:pPr>
                    <w:pStyle w:val="26"/>
                    <w:ind w:firstLine="0" w:firstLineChars="0"/>
                    <w:rPr>
                      <w:szCs w:val="21"/>
                    </w:rPr>
                  </w:pPr>
                  <w:r>
                    <w:rPr>
                      <w:rFonts w:hint="eastAsia"/>
                      <w:szCs w:val="21"/>
                    </w:rPr>
                    <w:t>状</w:t>
                  </w:r>
                </w:p>
                <w:p>
                  <w:pPr>
                    <w:pStyle w:val="26"/>
                    <w:ind w:firstLine="0" w:firstLineChars="0"/>
                    <w:rPr>
                      <w:szCs w:val="21"/>
                    </w:rPr>
                  </w:pPr>
                  <w:r>
                    <w:rPr>
                      <w:rFonts w:hint="eastAsia"/>
                      <w:szCs w:val="21"/>
                    </w:rPr>
                    <w:t>调</w:t>
                  </w:r>
                </w:p>
                <w:p>
                  <w:pPr>
                    <w:pStyle w:val="26"/>
                    <w:ind w:firstLine="0" w:firstLineChars="0"/>
                    <w:rPr>
                      <w:szCs w:val="21"/>
                    </w:rPr>
                  </w:pPr>
                  <w:r>
                    <w:rPr>
                      <w:rFonts w:hint="eastAsia"/>
                      <w:szCs w:val="21"/>
                    </w:rPr>
                    <w:t>查</w:t>
                  </w:r>
                </w:p>
              </w:tc>
              <w:tc>
                <w:tcPr>
                  <w:tcW w:w="1092" w:type="dxa"/>
                  <w:vMerge w:val="restart"/>
                  <w:vAlign w:val="center"/>
                </w:tcPr>
                <w:p>
                  <w:pPr>
                    <w:pStyle w:val="26"/>
                    <w:ind w:firstLine="0" w:firstLineChars="0"/>
                    <w:rPr>
                      <w:szCs w:val="21"/>
                    </w:rPr>
                  </w:pPr>
                  <w:r>
                    <w:rPr>
                      <w:rFonts w:hint="eastAsia"/>
                      <w:szCs w:val="21"/>
                    </w:rPr>
                    <w:t>区域污染源</w:t>
                  </w:r>
                </w:p>
              </w:tc>
              <w:tc>
                <w:tcPr>
                  <w:tcW w:w="3859" w:type="dxa"/>
                  <w:gridSpan w:val="7"/>
                  <w:vAlign w:val="center"/>
                </w:tcPr>
                <w:p>
                  <w:pPr>
                    <w:pStyle w:val="26"/>
                    <w:ind w:firstLine="0" w:firstLineChars="0"/>
                    <w:rPr>
                      <w:szCs w:val="21"/>
                    </w:rPr>
                  </w:pPr>
                  <w:r>
                    <w:rPr>
                      <w:rFonts w:hint="eastAsia"/>
                      <w:szCs w:val="21"/>
                    </w:rPr>
                    <w:t>调查项目</w:t>
                  </w:r>
                </w:p>
              </w:tc>
              <w:tc>
                <w:tcPr>
                  <w:tcW w:w="2990" w:type="dxa"/>
                  <w:gridSpan w:val="7"/>
                  <w:vAlign w:val="center"/>
                </w:tcPr>
                <w:p>
                  <w:pPr>
                    <w:pStyle w:val="26"/>
                    <w:ind w:firstLine="0" w:firstLineChars="0"/>
                    <w:rPr>
                      <w:szCs w:val="21"/>
                    </w:rPr>
                  </w:pPr>
                  <w:r>
                    <w:rPr>
                      <w:rFonts w:hint="eastAsia"/>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continue"/>
                  <w:vAlign w:val="center"/>
                </w:tcPr>
                <w:p>
                  <w:pPr>
                    <w:pStyle w:val="26"/>
                    <w:ind w:firstLine="0" w:firstLineChars="0"/>
                    <w:rPr>
                      <w:szCs w:val="21"/>
                    </w:rPr>
                  </w:pPr>
                </w:p>
              </w:tc>
              <w:tc>
                <w:tcPr>
                  <w:tcW w:w="2598" w:type="dxa"/>
                  <w:gridSpan w:val="4"/>
                  <w:vAlign w:val="center"/>
                </w:tcPr>
                <w:p>
                  <w:pPr>
                    <w:pStyle w:val="26"/>
                    <w:ind w:firstLine="0" w:firstLineChars="0"/>
                    <w:rPr>
                      <w:szCs w:val="21"/>
                    </w:rPr>
                  </w:pPr>
                  <w:r>
                    <w:rPr>
                      <w:rFonts w:hint="eastAsia"/>
                      <w:szCs w:val="21"/>
                    </w:rPr>
                    <w:t>已建☑；在建□；拟建□；其他□</w:t>
                  </w:r>
                </w:p>
              </w:tc>
              <w:tc>
                <w:tcPr>
                  <w:tcW w:w="1261" w:type="dxa"/>
                  <w:gridSpan w:val="3"/>
                  <w:vAlign w:val="center"/>
                </w:tcPr>
                <w:p>
                  <w:pPr>
                    <w:pStyle w:val="26"/>
                    <w:ind w:firstLine="0" w:firstLineChars="0"/>
                    <w:rPr>
                      <w:szCs w:val="21"/>
                    </w:rPr>
                  </w:pPr>
                  <w:r>
                    <w:rPr>
                      <w:rFonts w:hint="eastAsia"/>
                      <w:szCs w:val="21"/>
                    </w:rPr>
                    <w:t>拟替代的污染源☑</w:t>
                  </w:r>
                </w:p>
              </w:tc>
              <w:tc>
                <w:tcPr>
                  <w:tcW w:w="2990" w:type="dxa"/>
                  <w:gridSpan w:val="7"/>
                  <w:vAlign w:val="center"/>
                </w:tcPr>
                <w:p>
                  <w:pPr>
                    <w:pStyle w:val="26"/>
                    <w:ind w:firstLine="0" w:firstLineChars="0"/>
                    <w:rPr>
                      <w:szCs w:val="21"/>
                    </w:rPr>
                  </w:pPr>
                  <w:r>
                    <w:rPr>
                      <w:rFonts w:hint="eastAsia"/>
                      <w:szCs w:val="21"/>
                    </w:rPr>
                    <w:t>排污许可证□；环评□；环保验收□；既有实测□；现场</w:t>
                  </w:r>
                </w:p>
                <w:p>
                  <w:pPr>
                    <w:pStyle w:val="26"/>
                    <w:ind w:firstLine="0" w:firstLineChars="0"/>
                    <w:rPr>
                      <w:szCs w:val="21"/>
                    </w:rPr>
                  </w:pPr>
                  <w:r>
                    <w:rPr>
                      <w:rFonts w:hint="eastAsia"/>
                      <w:szCs w:val="21"/>
                    </w:rPr>
                    <w:t>监测□；入河排放口数据□；其他☑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restart"/>
                  <w:vAlign w:val="center"/>
                </w:tcPr>
                <w:p>
                  <w:pPr>
                    <w:pStyle w:val="26"/>
                    <w:keepNext/>
                    <w:keepLines w:val="0"/>
                    <w:pageBreakBefore w:val="0"/>
                    <w:widowControl w:val="0"/>
                    <w:kinsoku/>
                    <w:wordWrap/>
                    <w:overflowPunct/>
                    <w:topLinePunct w:val="0"/>
                    <w:autoSpaceDE w:val="0"/>
                    <w:autoSpaceDN w:val="0"/>
                    <w:bidi w:val="0"/>
                    <w:adjustRightInd w:val="0"/>
                    <w:snapToGrid/>
                    <w:spacing w:before="157" w:beforeLines="50"/>
                    <w:ind w:firstLine="0" w:firstLineChars="0"/>
                    <w:textAlignment w:val="baseline"/>
                    <w:rPr>
                      <w:szCs w:val="21"/>
                    </w:rPr>
                  </w:pPr>
                  <w:r>
                    <w:rPr>
                      <w:rFonts w:hint="eastAsia"/>
                      <w:szCs w:val="21"/>
                    </w:rPr>
                    <w:t>受影响水体水环境质量</w:t>
                  </w:r>
                </w:p>
              </w:tc>
              <w:tc>
                <w:tcPr>
                  <w:tcW w:w="3859" w:type="dxa"/>
                  <w:gridSpan w:val="7"/>
                  <w:vAlign w:val="center"/>
                </w:tcPr>
                <w:p>
                  <w:pPr>
                    <w:pStyle w:val="26"/>
                    <w:keepNext/>
                    <w:keepLines w:val="0"/>
                    <w:pageBreakBefore w:val="0"/>
                    <w:widowControl w:val="0"/>
                    <w:kinsoku/>
                    <w:wordWrap/>
                    <w:overflowPunct/>
                    <w:topLinePunct w:val="0"/>
                    <w:autoSpaceDE w:val="0"/>
                    <w:autoSpaceDN w:val="0"/>
                    <w:bidi w:val="0"/>
                    <w:adjustRightInd w:val="0"/>
                    <w:snapToGrid/>
                    <w:spacing w:before="157" w:beforeLines="50" w:after="157" w:afterLines="50"/>
                    <w:ind w:firstLine="0" w:firstLineChars="0"/>
                    <w:textAlignment w:val="baseline"/>
                    <w:rPr>
                      <w:szCs w:val="21"/>
                    </w:rPr>
                  </w:pPr>
                  <w:r>
                    <w:rPr>
                      <w:rFonts w:hint="eastAsia"/>
                      <w:szCs w:val="21"/>
                    </w:rPr>
                    <w:t>调查时期</w:t>
                  </w:r>
                </w:p>
              </w:tc>
              <w:tc>
                <w:tcPr>
                  <w:tcW w:w="2990" w:type="dxa"/>
                  <w:gridSpan w:val="7"/>
                  <w:vAlign w:val="center"/>
                </w:tcPr>
                <w:p>
                  <w:pPr>
                    <w:pStyle w:val="26"/>
                    <w:keepNext/>
                    <w:keepLines w:val="0"/>
                    <w:pageBreakBefore w:val="0"/>
                    <w:widowControl w:val="0"/>
                    <w:kinsoku/>
                    <w:wordWrap/>
                    <w:overflowPunct/>
                    <w:topLinePunct w:val="0"/>
                    <w:autoSpaceDE w:val="0"/>
                    <w:autoSpaceDN w:val="0"/>
                    <w:bidi w:val="0"/>
                    <w:adjustRightInd w:val="0"/>
                    <w:snapToGrid/>
                    <w:spacing w:before="157" w:beforeLines="50" w:after="157" w:afterLines="50"/>
                    <w:ind w:firstLine="0" w:firstLineChars="0"/>
                    <w:textAlignment w:val="baseline"/>
                    <w:rPr>
                      <w:szCs w:val="21"/>
                    </w:rPr>
                  </w:pPr>
                  <w:r>
                    <w:rPr>
                      <w:rFonts w:hint="eastAsia"/>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continue"/>
                  <w:vAlign w:val="center"/>
                </w:tcPr>
                <w:p>
                  <w:pPr>
                    <w:pStyle w:val="26"/>
                    <w:ind w:firstLine="0" w:firstLineChars="0"/>
                    <w:rPr>
                      <w:szCs w:val="21"/>
                    </w:rPr>
                  </w:pPr>
                </w:p>
              </w:tc>
              <w:tc>
                <w:tcPr>
                  <w:tcW w:w="3859" w:type="dxa"/>
                  <w:gridSpan w:val="7"/>
                  <w:vAlign w:val="center"/>
                </w:tcPr>
                <w:p>
                  <w:pPr>
                    <w:pStyle w:val="26"/>
                    <w:ind w:firstLine="0" w:firstLineChars="0"/>
                    <w:rPr>
                      <w:szCs w:val="21"/>
                    </w:rPr>
                  </w:pPr>
                  <w:r>
                    <w:rPr>
                      <w:rFonts w:hint="eastAsia"/>
                      <w:szCs w:val="21"/>
                    </w:rPr>
                    <w:t>丰水期□；平水期☑；枯水期□；冰封期□</w:t>
                  </w:r>
                </w:p>
                <w:p>
                  <w:pPr>
                    <w:pStyle w:val="26"/>
                    <w:ind w:firstLine="0" w:firstLineChars="0"/>
                    <w:rPr>
                      <w:szCs w:val="21"/>
                    </w:rPr>
                  </w:pPr>
                  <w:r>
                    <w:rPr>
                      <w:rFonts w:hint="eastAsia"/>
                      <w:szCs w:val="21"/>
                    </w:rPr>
                    <w:t>春季☑；夏季□；秋季□；冬季□</w:t>
                  </w:r>
                </w:p>
              </w:tc>
              <w:tc>
                <w:tcPr>
                  <w:tcW w:w="2990" w:type="dxa"/>
                  <w:gridSpan w:val="7"/>
                  <w:vAlign w:val="center"/>
                </w:tcPr>
                <w:p>
                  <w:pPr>
                    <w:pStyle w:val="26"/>
                    <w:ind w:firstLine="0" w:firstLineChars="0"/>
                    <w:rPr>
                      <w:szCs w:val="21"/>
                    </w:rPr>
                  </w:pPr>
                  <w:r>
                    <w:rPr>
                      <w:rFonts w:hint="eastAsia"/>
                      <w:szCs w:val="21"/>
                    </w:rPr>
                    <w:t>生态环境保护主管部门☑；补充监测□；其他□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区域水资源开发利用状况</w:t>
                  </w:r>
                </w:p>
              </w:tc>
              <w:tc>
                <w:tcPr>
                  <w:tcW w:w="6849" w:type="dxa"/>
                  <w:gridSpan w:val="14"/>
                  <w:vAlign w:val="center"/>
                </w:tcPr>
                <w:p>
                  <w:pPr>
                    <w:pStyle w:val="26"/>
                    <w:ind w:firstLine="0" w:firstLineChars="0"/>
                    <w:rPr>
                      <w:szCs w:val="21"/>
                    </w:rPr>
                  </w:pPr>
                  <w:r>
                    <w:rPr>
                      <w:rFonts w:hint="eastAsia"/>
                      <w:szCs w:val="21"/>
                    </w:rPr>
                    <w:t>未开发□；开发量 40%以下□；开发量 40%以上☑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restart"/>
                  <w:vAlign w:val="center"/>
                </w:tcPr>
                <w:p>
                  <w:pPr>
                    <w:pStyle w:val="26"/>
                    <w:ind w:firstLine="0" w:firstLineChars="0"/>
                    <w:rPr>
                      <w:szCs w:val="21"/>
                    </w:rPr>
                  </w:pPr>
                  <w:r>
                    <w:rPr>
                      <w:rFonts w:hint="eastAsia"/>
                      <w:szCs w:val="21"/>
                    </w:rPr>
                    <w:t>水文情势调查</w:t>
                  </w:r>
                </w:p>
              </w:tc>
              <w:tc>
                <w:tcPr>
                  <w:tcW w:w="3309" w:type="dxa"/>
                  <w:gridSpan w:val="6"/>
                  <w:vAlign w:val="center"/>
                </w:tcPr>
                <w:p>
                  <w:pPr>
                    <w:pStyle w:val="26"/>
                    <w:ind w:firstLine="0" w:firstLineChars="0"/>
                    <w:rPr>
                      <w:szCs w:val="21"/>
                    </w:rPr>
                  </w:pPr>
                  <w:r>
                    <w:rPr>
                      <w:rFonts w:hint="eastAsia"/>
                      <w:szCs w:val="21"/>
                    </w:rPr>
                    <w:t>调查时期</w:t>
                  </w:r>
                </w:p>
              </w:tc>
              <w:tc>
                <w:tcPr>
                  <w:tcW w:w="3540" w:type="dxa"/>
                  <w:gridSpan w:val="8"/>
                  <w:vAlign w:val="center"/>
                </w:tcPr>
                <w:p>
                  <w:pPr>
                    <w:pStyle w:val="26"/>
                    <w:ind w:firstLine="0" w:firstLineChars="0"/>
                    <w:rPr>
                      <w:szCs w:val="21"/>
                    </w:rPr>
                  </w:pPr>
                  <w:r>
                    <w:rPr>
                      <w:rFonts w:hint="eastAsia"/>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continue"/>
                  <w:vAlign w:val="center"/>
                </w:tcPr>
                <w:p>
                  <w:pPr>
                    <w:pStyle w:val="26"/>
                    <w:ind w:firstLine="0" w:firstLineChars="0"/>
                    <w:rPr>
                      <w:szCs w:val="21"/>
                    </w:rPr>
                  </w:pPr>
                </w:p>
              </w:tc>
              <w:tc>
                <w:tcPr>
                  <w:tcW w:w="3309" w:type="dxa"/>
                  <w:gridSpan w:val="6"/>
                  <w:vAlign w:val="center"/>
                </w:tcPr>
                <w:p>
                  <w:pPr>
                    <w:pStyle w:val="26"/>
                    <w:ind w:firstLine="0" w:firstLineChars="0"/>
                    <w:rPr>
                      <w:szCs w:val="21"/>
                    </w:rPr>
                  </w:pPr>
                  <w:r>
                    <w:rPr>
                      <w:rFonts w:hint="eastAsia"/>
                      <w:szCs w:val="21"/>
                    </w:rPr>
                    <w:t>丰水期□；平水期□；枯水期□；冰封期□</w:t>
                  </w:r>
                </w:p>
                <w:p>
                  <w:pPr>
                    <w:pStyle w:val="26"/>
                    <w:ind w:firstLine="0" w:firstLineChars="0"/>
                    <w:rPr>
                      <w:szCs w:val="21"/>
                    </w:rPr>
                  </w:pPr>
                  <w:r>
                    <w:rPr>
                      <w:rFonts w:hint="eastAsia"/>
                      <w:szCs w:val="21"/>
                    </w:rPr>
                    <w:t>春季□；夏季□；秋季□；冬季□</w:t>
                  </w:r>
                </w:p>
              </w:tc>
              <w:tc>
                <w:tcPr>
                  <w:tcW w:w="3540" w:type="dxa"/>
                  <w:gridSpan w:val="8"/>
                  <w:vAlign w:val="center"/>
                </w:tcPr>
                <w:p>
                  <w:pPr>
                    <w:pStyle w:val="26"/>
                    <w:ind w:firstLine="0" w:firstLineChars="0"/>
                    <w:rPr>
                      <w:szCs w:val="21"/>
                    </w:rPr>
                  </w:pPr>
                  <w:r>
                    <w:rPr>
                      <w:rFonts w:hint="eastAsia"/>
                      <w:szCs w:val="21"/>
                    </w:rPr>
                    <w:t>水行政主管部门□；补充监测□；其他□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restart"/>
                  <w:vAlign w:val="center"/>
                </w:tcPr>
                <w:p>
                  <w:pPr>
                    <w:pStyle w:val="26"/>
                    <w:ind w:firstLine="0" w:firstLineChars="0"/>
                    <w:rPr>
                      <w:szCs w:val="21"/>
                    </w:rPr>
                  </w:pPr>
                  <w:r>
                    <w:rPr>
                      <w:rFonts w:hint="eastAsia"/>
                      <w:szCs w:val="21"/>
                    </w:rPr>
                    <w:t>补充监测</w:t>
                  </w:r>
                </w:p>
              </w:tc>
              <w:tc>
                <w:tcPr>
                  <w:tcW w:w="3309" w:type="dxa"/>
                  <w:gridSpan w:val="6"/>
                  <w:vAlign w:val="center"/>
                </w:tcPr>
                <w:p>
                  <w:pPr>
                    <w:pStyle w:val="26"/>
                    <w:ind w:firstLine="0" w:firstLineChars="0"/>
                    <w:rPr>
                      <w:szCs w:val="21"/>
                    </w:rPr>
                  </w:pPr>
                  <w:r>
                    <w:rPr>
                      <w:rFonts w:hint="eastAsia"/>
                      <w:szCs w:val="21"/>
                    </w:rPr>
                    <w:t>监测时期</w:t>
                  </w:r>
                </w:p>
              </w:tc>
              <w:tc>
                <w:tcPr>
                  <w:tcW w:w="2332" w:type="dxa"/>
                  <w:gridSpan w:val="6"/>
                  <w:vAlign w:val="center"/>
                </w:tcPr>
                <w:p>
                  <w:pPr>
                    <w:pStyle w:val="26"/>
                    <w:ind w:firstLine="0" w:firstLineChars="0"/>
                    <w:rPr>
                      <w:szCs w:val="21"/>
                    </w:rPr>
                  </w:pPr>
                  <w:r>
                    <w:rPr>
                      <w:rFonts w:hint="eastAsia"/>
                      <w:szCs w:val="21"/>
                    </w:rPr>
                    <w:t>监测因子</w:t>
                  </w:r>
                </w:p>
              </w:tc>
              <w:tc>
                <w:tcPr>
                  <w:tcW w:w="1208" w:type="dxa"/>
                  <w:gridSpan w:val="2"/>
                  <w:vAlign w:val="center"/>
                </w:tcPr>
                <w:p>
                  <w:pPr>
                    <w:pStyle w:val="26"/>
                    <w:ind w:firstLine="0" w:firstLineChars="0"/>
                    <w:rPr>
                      <w:szCs w:val="21"/>
                    </w:rPr>
                  </w:pPr>
                  <w:r>
                    <w:rPr>
                      <w:rFonts w:hint="eastAsia"/>
                      <w:szCs w:val="21"/>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continue"/>
                  <w:vAlign w:val="center"/>
                </w:tcPr>
                <w:p>
                  <w:pPr>
                    <w:pStyle w:val="26"/>
                    <w:ind w:firstLine="0" w:firstLineChars="0"/>
                    <w:rPr>
                      <w:szCs w:val="21"/>
                    </w:rPr>
                  </w:pPr>
                </w:p>
              </w:tc>
              <w:tc>
                <w:tcPr>
                  <w:tcW w:w="3309" w:type="dxa"/>
                  <w:gridSpan w:val="6"/>
                  <w:vAlign w:val="center"/>
                </w:tcPr>
                <w:p>
                  <w:pPr>
                    <w:pStyle w:val="26"/>
                    <w:ind w:firstLine="0" w:firstLineChars="0"/>
                    <w:rPr>
                      <w:szCs w:val="21"/>
                    </w:rPr>
                  </w:pPr>
                  <w:r>
                    <w:rPr>
                      <w:rFonts w:hint="eastAsia"/>
                      <w:szCs w:val="21"/>
                    </w:rPr>
                    <w:t>丰水期□；平水期□；枯水期□；冰封期□</w:t>
                  </w:r>
                </w:p>
                <w:p>
                  <w:pPr>
                    <w:pStyle w:val="26"/>
                    <w:ind w:firstLine="0" w:firstLineChars="0"/>
                    <w:rPr>
                      <w:szCs w:val="21"/>
                    </w:rPr>
                  </w:pPr>
                  <w:r>
                    <w:rPr>
                      <w:rFonts w:hint="eastAsia"/>
                      <w:szCs w:val="21"/>
                    </w:rPr>
                    <w:t>春季□；夏季□；秋季□；冬季□</w:t>
                  </w:r>
                </w:p>
              </w:tc>
              <w:tc>
                <w:tcPr>
                  <w:tcW w:w="2332" w:type="dxa"/>
                  <w:gridSpan w:val="6"/>
                  <w:vAlign w:val="center"/>
                </w:tcPr>
                <w:p>
                  <w:pPr>
                    <w:pStyle w:val="26"/>
                    <w:ind w:firstLine="0" w:firstLineChars="0"/>
                    <w:rPr>
                      <w:szCs w:val="21"/>
                    </w:rPr>
                  </w:pPr>
                  <w:r>
                    <w:rPr>
                      <w:rFonts w:hint="eastAsia"/>
                      <w:szCs w:val="21"/>
                    </w:rPr>
                    <w:t>pH、悬浮物、化学需氧量、五日生化需氧量、溶解氧、氨氮、总磷</w:t>
                  </w:r>
                </w:p>
              </w:tc>
              <w:tc>
                <w:tcPr>
                  <w:tcW w:w="1208" w:type="dxa"/>
                  <w:gridSpan w:val="2"/>
                  <w:vAlign w:val="center"/>
                </w:tcPr>
                <w:p>
                  <w:pPr>
                    <w:pStyle w:val="26"/>
                    <w:ind w:firstLine="0" w:firstLineChars="0"/>
                    <w:rPr>
                      <w:szCs w:val="21"/>
                    </w:rPr>
                  </w:pPr>
                  <w:r>
                    <w:rPr>
                      <w:rFonts w:hint="eastAsia"/>
                      <w:szCs w:val="21"/>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restart"/>
                  <w:vAlign w:val="center"/>
                </w:tcPr>
                <w:p>
                  <w:pPr>
                    <w:pStyle w:val="26"/>
                    <w:ind w:firstLine="0" w:firstLineChars="0"/>
                    <w:rPr>
                      <w:szCs w:val="21"/>
                    </w:rPr>
                  </w:pPr>
                  <w:r>
                    <w:rPr>
                      <w:rFonts w:hint="eastAsia"/>
                      <w:szCs w:val="21"/>
                    </w:rPr>
                    <w:t>现状评价</w:t>
                  </w:r>
                </w:p>
              </w:tc>
              <w:tc>
                <w:tcPr>
                  <w:tcW w:w="1092" w:type="dxa"/>
                  <w:vAlign w:val="center"/>
                </w:tcPr>
                <w:p>
                  <w:pPr>
                    <w:pStyle w:val="26"/>
                    <w:ind w:firstLine="0" w:firstLineChars="0"/>
                    <w:rPr>
                      <w:szCs w:val="21"/>
                    </w:rPr>
                  </w:pPr>
                  <w:r>
                    <w:rPr>
                      <w:rFonts w:hint="eastAsia"/>
                      <w:szCs w:val="21"/>
                    </w:rPr>
                    <w:t>评价范围</w:t>
                  </w:r>
                </w:p>
              </w:tc>
              <w:tc>
                <w:tcPr>
                  <w:tcW w:w="6849" w:type="dxa"/>
                  <w:gridSpan w:val="14"/>
                  <w:vAlign w:val="center"/>
                </w:tcPr>
                <w:p>
                  <w:pPr>
                    <w:pStyle w:val="26"/>
                    <w:ind w:firstLine="0" w:firstLineChars="0"/>
                    <w:rPr>
                      <w:szCs w:val="21"/>
                    </w:rPr>
                  </w:pPr>
                  <w:r>
                    <w:rPr>
                      <w:rFonts w:hint="eastAsia"/>
                      <w:szCs w:val="21"/>
                    </w:rPr>
                    <w:t>河流：长度（1）km；湖库、河口及近岸海域：面积（/）km</w:t>
                  </w:r>
                  <w:r>
                    <w:rPr>
                      <w:rFonts w:hint="eastAsia"/>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评价因子</w:t>
                  </w:r>
                </w:p>
              </w:tc>
              <w:tc>
                <w:tcPr>
                  <w:tcW w:w="6849" w:type="dxa"/>
                  <w:gridSpan w:val="14"/>
                  <w:vAlign w:val="center"/>
                </w:tcPr>
                <w:p>
                  <w:pPr>
                    <w:pStyle w:val="26"/>
                    <w:ind w:firstLine="0" w:firstLineChars="0"/>
                    <w:rPr>
                      <w:szCs w:val="21"/>
                    </w:rPr>
                  </w:pPr>
                  <w:r>
                    <w:rPr>
                      <w:rFonts w:hint="eastAsia"/>
                      <w:szCs w:val="21"/>
                    </w:rPr>
                    <w:t>（化学需氧量、溶解氧、氨氮、总磷）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评价标准</w:t>
                  </w:r>
                </w:p>
              </w:tc>
              <w:tc>
                <w:tcPr>
                  <w:tcW w:w="6849" w:type="dxa"/>
                  <w:gridSpan w:val="14"/>
                  <w:vAlign w:val="center"/>
                </w:tcPr>
                <w:p>
                  <w:pPr>
                    <w:pStyle w:val="26"/>
                    <w:ind w:firstLine="0" w:firstLineChars="0"/>
                    <w:rPr>
                      <w:szCs w:val="21"/>
                    </w:rPr>
                  </w:pPr>
                  <w:r>
                    <w:rPr>
                      <w:rFonts w:hint="eastAsia"/>
                      <w:szCs w:val="21"/>
                    </w:rPr>
                    <w:t>河流、湖库、河口：Ⅰ类□；Ⅱ类□；Ⅲ类☑；Ⅳ类□；Ⅴ类□</w:t>
                  </w:r>
                </w:p>
                <w:p>
                  <w:pPr>
                    <w:pStyle w:val="26"/>
                    <w:ind w:firstLine="0" w:firstLineChars="0"/>
                    <w:rPr>
                      <w:szCs w:val="21"/>
                    </w:rPr>
                  </w:pPr>
                  <w:r>
                    <w:rPr>
                      <w:rFonts w:hint="eastAsia"/>
                      <w:szCs w:val="21"/>
                    </w:rPr>
                    <w:t>近岸海域：第一类□；第二类□；第三类□；第四类□</w:t>
                  </w:r>
                </w:p>
                <w:p>
                  <w:pPr>
                    <w:pStyle w:val="26"/>
                    <w:ind w:firstLine="0" w:firstLineChars="0"/>
                    <w:rPr>
                      <w:szCs w:val="21"/>
                    </w:rPr>
                  </w:pPr>
                  <w:r>
                    <w:rPr>
                      <w:rFonts w:hint="eastAsia"/>
                      <w:szCs w:val="21"/>
                    </w:rPr>
                    <w:t>规划年评价标准（）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评价时期</w:t>
                  </w:r>
                </w:p>
              </w:tc>
              <w:tc>
                <w:tcPr>
                  <w:tcW w:w="6849" w:type="dxa"/>
                  <w:gridSpan w:val="14"/>
                  <w:vAlign w:val="center"/>
                </w:tcPr>
                <w:p>
                  <w:pPr>
                    <w:pStyle w:val="26"/>
                    <w:ind w:firstLine="0" w:firstLineChars="0"/>
                    <w:jc w:val="both"/>
                    <w:rPr>
                      <w:szCs w:val="21"/>
                    </w:rPr>
                  </w:pPr>
                  <w:r>
                    <w:rPr>
                      <w:rFonts w:hint="eastAsia"/>
                      <w:szCs w:val="21"/>
                    </w:rPr>
                    <w:t>丰水期□；平水期☑；枯水期□；冰封期□</w:t>
                  </w:r>
                </w:p>
                <w:p>
                  <w:pPr>
                    <w:pStyle w:val="26"/>
                    <w:ind w:firstLine="0" w:firstLineChars="0"/>
                    <w:jc w:val="both"/>
                    <w:rPr>
                      <w:rFonts w:hint="eastAsia" w:eastAsia="宋体"/>
                      <w:szCs w:val="21"/>
                      <w:lang w:eastAsia="zh-CN"/>
                    </w:rPr>
                  </w:pPr>
                  <w:r>
                    <w:rPr>
                      <w:rFonts w:hint="eastAsia"/>
                      <w:szCs w:val="21"/>
                    </w:rPr>
                    <w:t>春季</w:t>
                  </w:r>
                  <w:r>
                    <w:rPr>
                      <w:rFonts w:hint="eastAsia"/>
                      <w:szCs w:val="21"/>
                    </w:rPr>
                    <w:sym w:font="Wingdings 2" w:char="0052"/>
                  </w:r>
                  <w:r>
                    <w:rPr>
                      <w:rFonts w:hint="eastAsia"/>
                      <w:szCs w:val="21"/>
                    </w:rPr>
                    <w:t>；夏季□；秋季□；冬季</w:t>
                  </w:r>
                  <w:r>
                    <w:rPr>
                      <w:rFonts w:hint="eastAsia"/>
                      <w:szCs w:val="21"/>
                      <w:lang w:eastAsia="zh-CN"/>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评价结论</w:t>
                  </w:r>
                </w:p>
              </w:tc>
              <w:tc>
                <w:tcPr>
                  <w:tcW w:w="5821" w:type="dxa"/>
                  <w:gridSpan w:val="13"/>
                  <w:vAlign w:val="center"/>
                </w:tcPr>
                <w:p>
                  <w:pPr>
                    <w:pStyle w:val="26"/>
                    <w:ind w:firstLine="0" w:firstLineChars="0"/>
                    <w:jc w:val="both"/>
                    <w:rPr>
                      <w:szCs w:val="21"/>
                    </w:rPr>
                  </w:pPr>
                  <w:r>
                    <w:rPr>
                      <w:rFonts w:hint="eastAsia"/>
                      <w:szCs w:val="21"/>
                    </w:rPr>
                    <w:t>水环境功能区或水功能区、近岸海域环境功能区水质达标状况</w:t>
                  </w:r>
                  <w:r>
                    <w:rPr>
                      <w:rFonts w:hint="eastAsia"/>
                      <w:szCs w:val="21"/>
                    </w:rPr>
                    <w:sym w:font="Wingdings 2" w:char="00A3"/>
                  </w:r>
                  <w:r>
                    <w:rPr>
                      <w:rFonts w:hint="eastAsia"/>
                      <w:szCs w:val="21"/>
                    </w:rPr>
                    <w:t>：达标□；不达标</w:t>
                  </w:r>
                  <w:r>
                    <w:rPr>
                      <w:rFonts w:hint="eastAsia"/>
                      <w:szCs w:val="21"/>
                    </w:rPr>
                    <w:sym w:font="Wingdings 2" w:char="00A3"/>
                  </w:r>
                </w:p>
                <w:p>
                  <w:pPr>
                    <w:pStyle w:val="26"/>
                    <w:ind w:firstLine="0" w:firstLineChars="0"/>
                    <w:jc w:val="both"/>
                    <w:rPr>
                      <w:szCs w:val="21"/>
                    </w:rPr>
                  </w:pPr>
                  <w:r>
                    <w:rPr>
                      <w:rFonts w:hint="eastAsia"/>
                      <w:szCs w:val="21"/>
                    </w:rPr>
                    <w:t>水环境控制单元或断面水质达标状况□：达标□；不达标□</w:t>
                  </w:r>
                </w:p>
                <w:p>
                  <w:pPr>
                    <w:pStyle w:val="26"/>
                    <w:ind w:firstLine="0" w:firstLineChars="0"/>
                    <w:jc w:val="both"/>
                    <w:rPr>
                      <w:szCs w:val="21"/>
                    </w:rPr>
                  </w:pPr>
                  <w:r>
                    <w:rPr>
                      <w:rFonts w:hint="eastAsia"/>
                      <w:szCs w:val="21"/>
                    </w:rPr>
                    <w:t>水环境保护目标质量状况☑：达标□；不达标☑</w:t>
                  </w:r>
                </w:p>
                <w:p>
                  <w:pPr>
                    <w:pStyle w:val="26"/>
                    <w:ind w:firstLine="0" w:firstLineChars="0"/>
                    <w:jc w:val="both"/>
                    <w:rPr>
                      <w:szCs w:val="21"/>
                    </w:rPr>
                  </w:pPr>
                  <w:r>
                    <w:rPr>
                      <w:rFonts w:hint="eastAsia"/>
                      <w:szCs w:val="21"/>
                    </w:rPr>
                    <w:t>对照断面、控制断面等代表性断面的水质状况□：达标□；不达标□</w:t>
                  </w:r>
                </w:p>
                <w:p>
                  <w:pPr>
                    <w:pStyle w:val="26"/>
                    <w:ind w:firstLine="0" w:firstLineChars="0"/>
                    <w:jc w:val="both"/>
                    <w:rPr>
                      <w:szCs w:val="21"/>
                    </w:rPr>
                  </w:pPr>
                  <w:r>
                    <w:rPr>
                      <w:rFonts w:hint="eastAsia"/>
                      <w:szCs w:val="21"/>
                    </w:rPr>
                    <w:t>底泥污染评价□</w:t>
                  </w:r>
                </w:p>
                <w:p>
                  <w:pPr>
                    <w:pStyle w:val="26"/>
                    <w:ind w:firstLine="0" w:firstLineChars="0"/>
                    <w:jc w:val="both"/>
                    <w:rPr>
                      <w:szCs w:val="21"/>
                    </w:rPr>
                  </w:pPr>
                  <w:r>
                    <w:rPr>
                      <w:rFonts w:hint="eastAsia"/>
                      <w:szCs w:val="21"/>
                    </w:rPr>
                    <w:t>水资源与开发利用程度及其水文情势评价□</w:t>
                  </w:r>
                </w:p>
                <w:p>
                  <w:pPr>
                    <w:pStyle w:val="26"/>
                    <w:ind w:firstLine="0" w:firstLineChars="0"/>
                    <w:jc w:val="both"/>
                    <w:rPr>
                      <w:szCs w:val="21"/>
                    </w:rPr>
                  </w:pPr>
                  <w:r>
                    <w:rPr>
                      <w:rFonts w:hint="eastAsia"/>
                      <w:szCs w:val="21"/>
                    </w:rPr>
                    <w:t>水环境质量回顾评价□</w:t>
                  </w:r>
                </w:p>
                <w:p>
                  <w:pPr>
                    <w:pStyle w:val="26"/>
                    <w:ind w:firstLine="0" w:firstLineChars="0"/>
                    <w:jc w:val="both"/>
                    <w:rPr>
                      <w:szCs w:val="21"/>
                    </w:rPr>
                  </w:pPr>
                  <w:r>
                    <w:rPr>
                      <w:rFonts w:hint="eastAsia"/>
                      <w:szCs w:val="21"/>
                    </w:rPr>
                    <w:t>流域（区域）水资源（包括水能资源）与开发利用总体状况、生态流量管理要求与现状满足程度、建设项目占用水域空间的水流状况与河湖演变状况□</w:t>
                  </w:r>
                </w:p>
              </w:tc>
              <w:tc>
                <w:tcPr>
                  <w:tcW w:w="1028" w:type="dxa"/>
                  <w:vAlign w:val="center"/>
                </w:tcPr>
                <w:p>
                  <w:pPr>
                    <w:pStyle w:val="26"/>
                    <w:ind w:firstLine="0" w:firstLineChars="0"/>
                    <w:rPr>
                      <w:szCs w:val="21"/>
                    </w:rPr>
                  </w:pPr>
                </w:p>
                <w:p>
                  <w:pPr>
                    <w:pStyle w:val="26"/>
                    <w:ind w:firstLine="0" w:firstLineChars="0"/>
                    <w:rPr>
                      <w:szCs w:val="21"/>
                    </w:rPr>
                  </w:pPr>
                </w:p>
                <w:p>
                  <w:pPr>
                    <w:pStyle w:val="26"/>
                    <w:ind w:firstLine="0" w:firstLineChars="0"/>
                    <w:rPr>
                      <w:szCs w:val="21"/>
                    </w:rPr>
                  </w:pPr>
                </w:p>
                <w:p>
                  <w:pPr>
                    <w:pStyle w:val="26"/>
                    <w:ind w:firstLine="0" w:firstLineChars="0"/>
                    <w:rPr>
                      <w:szCs w:val="21"/>
                    </w:rPr>
                  </w:pPr>
                </w:p>
                <w:p>
                  <w:pPr>
                    <w:pStyle w:val="26"/>
                    <w:ind w:firstLine="0" w:firstLineChars="0"/>
                    <w:jc w:val="both"/>
                    <w:rPr>
                      <w:rFonts w:hint="eastAsia" w:eastAsia="宋体"/>
                      <w:szCs w:val="21"/>
                      <w:lang w:eastAsia="zh-CN"/>
                    </w:rPr>
                  </w:pPr>
                  <w:r>
                    <w:rPr>
                      <w:rFonts w:hint="eastAsia"/>
                      <w:szCs w:val="21"/>
                    </w:rPr>
                    <w:t>达标区</w:t>
                  </w:r>
                  <w:r>
                    <w:rPr>
                      <w:rFonts w:hint="eastAsia"/>
                      <w:szCs w:val="21"/>
                      <w:lang w:eastAsia="zh-CN"/>
                    </w:rPr>
                    <w:t>□</w:t>
                  </w:r>
                </w:p>
                <w:p>
                  <w:pPr>
                    <w:pStyle w:val="26"/>
                    <w:ind w:firstLine="0" w:firstLineChars="0"/>
                    <w:jc w:val="both"/>
                    <w:rPr>
                      <w:szCs w:val="21"/>
                    </w:rPr>
                  </w:pPr>
                  <w:r>
                    <w:rPr>
                      <w:rFonts w:hint="eastAsia"/>
                      <w:szCs w:val="21"/>
                    </w:rPr>
                    <w:t>不达标区</w:t>
                  </w:r>
                  <w:r>
                    <w:rPr>
                      <w:rFonts w:hint="eastAsia"/>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restart"/>
                  <w:vAlign w:val="center"/>
                </w:tcPr>
                <w:p>
                  <w:pPr>
                    <w:pStyle w:val="26"/>
                    <w:ind w:firstLine="0" w:firstLineChars="0"/>
                    <w:rPr>
                      <w:szCs w:val="21"/>
                    </w:rPr>
                  </w:pPr>
                  <w:r>
                    <w:rPr>
                      <w:rFonts w:hint="eastAsia"/>
                      <w:szCs w:val="21"/>
                    </w:rPr>
                    <w:t>影响预测</w:t>
                  </w:r>
                </w:p>
              </w:tc>
              <w:tc>
                <w:tcPr>
                  <w:tcW w:w="1092" w:type="dxa"/>
                  <w:vAlign w:val="center"/>
                </w:tcPr>
                <w:p>
                  <w:pPr>
                    <w:pStyle w:val="26"/>
                    <w:ind w:firstLine="0" w:firstLineChars="0"/>
                    <w:rPr>
                      <w:szCs w:val="21"/>
                    </w:rPr>
                  </w:pPr>
                  <w:r>
                    <w:rPr>
                      <w:rFonts w:hint="eastAsia"/>
                      <w:szCs w:val="21"/>
                    </w:rPr>
                    <w:t>预测范围</w:t>
                  </w:r>
                </w:p>
              </w:tc>
              <w:tc>
                <w:tcPr>
                  <w:tcW w:w="6849" w:type="dxa"/>
                  <w:gridSpan w:val="14"/>
                  <w:vAlign w:val="center"/>
                </w:tcPr>
                <w:p>
                  <w:pPr>
                    <w:pStyle w:val="26"/>
                    <w:ind w:firstLine="0" w:firstLineChars="0"/>
                    <w:rPr>
                      <w:szCs w:val="21"/>
                    </w:rPr>
                  </w:pPr>
                  <w:r>
                    <w:rPr>
                      <w:rFonts w:hint="eastAsia"/>
                      <w:szCs w:val="21"/>
                    </w:rPr>
                    <w:t>河流：长度（）km；湖库、河口及近岸海域：面积（）km</w:t>
                  </w:r>
                  <w:r>
                    <w:rPr>
                      <w:rFonts w:hint="eastAsia"/>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预测因子</w:t>
                  </w:r>
                </w:p>
              </w:tc>
              <w:tc>
                <w:tcPr>
                  <w:tcW w:w="6849" w:type="dxa"/>
                  <w:gridSpan w:val="14"/>
                  <w:vAlign w:val="center"/>
                </w:tcPr>
                <w:p>
                  <w:pPr>
                    <w:pStyle w:val="26"/>
                    <w:ind w:firstLine="0" w:firstLineChars="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预测时期</w:t>
                  </w:r>
                </w:p>
              </w:tc>
              <w:tc>
                <w:tcPr>
                  <w:tcW w:w="6849" w:type="dxa"/>
                  <w:gridSpan w:val="14"/>
                  <w:vAlign w:val="center"/>
                </w:tcPr>
                <w:p>
                  <w:pPr>
                    <w:pStyle w:val="26"/>
                    <w:ind w:firstLine="0" w:firstLineChars="0"/>
                    <w:jc w:val="both"/>
                    <w:rPr>
                      <w:szCs w:val="21"/>
                    </w:rPr>
                  </w:pPr>
                  <w:r>
                    <w:rPr>
                      <w:rFonts w:hint="eastAsia"/>
                      <w:szCs w:val="21"/>
                    </w:rPr>
                    <w:t>丰水期□；平水期□；枯水期□；冰封期□</w:t>
                  </w:r>
                </w:p>
                <w:p>
                  <w:pPr>
                    <w:pStyle w:val="26"/>
                    <w:ind w:firstLine="0" w:firstLineChars="0"/>
                    <w:jc w:val="both"/>
                    <w:rPr>
                      <w:szCs w:val="21"/>
                    </w:rPr>
                  </w:pPr>
                  <w:r>
                    <w:rPr>
                      <w:rFonts w:hint="eastAsia"/>
                      <w:szCs w:val="21"/>
                    </w:rPr>
                    <w:t>春季□；夏季□；秋季□；冬季□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预测情景</w:t>
                  </w:r>
                </w:p>
              </w:tc>
              <w:tc>
                <w:tcPr>
                  <w:tcW w:w="6849" w:type="dxa"/>
                  <w:gridSpan w:val="14"/>
                  <w:vAlign w:val="center"/>
                </w:tcPr>
                <w:p>
                  <w:pPr>
                    <w:pStyle w:val="26"/>
                    <w:ind w:firstLine="0" w:firstLineChars="0"/>
                    <w:jc w:val="both"/>
                    <w:rPr>
                      <w:szCs w:val="21"/>
                    </w:rPr>
                  </w:pPr>
                  <w:r>
                    <w:rPr>
                      <w:rFonts w:hint="eastAsia"/>
                      <w:szCs w:val="21"/>
                    </w:rPr>
                    <w:t>建设期□；生产运行期□；服务期满后□</w:t>
                  </w:r>
                </w:p>
                <w:p>
                  <w:pPr>
                    <w:pStyle w:val="26"/>
                    <w:ind w:firstLine="0" w:firstLineChars="0"/>
                    <w:jc w:val="both"/>
                    <w:rPr>
                      <w:szCs w:val="21"/>
                    </w:rPr>
                  </w:pPr>
                  <w:r>
                    <w:rPr>
                      <w:rFonts w:hint="eastAsia"/>
                      <w:szCs w:val="21"/>
                    </w:rPr>
                    <w:t>正常工况□；非正常工况□</w:t>
                  </w:r>
                </w:p>
                <w:p>
                  <w:pPr>
                    <w:pStyle w:val="26"/>
                    <w:ind w:firstLine="0" w:firstLineChars="0"/>
                    <w:jc w:val="both"/>
                    <w:rPr>
                      <w:szCs w:val="21"/>
                    </w:rPr>
                  </w:pPr>
                  <w:r>
                    <w:rPr>
                      <w:rFonts w:hint="eastAsia"/>
                      <w:szCs w:val="21"/>
                    </w:rPr>
                    <w:t>污染控制和减缓措施方案□</w:t>
                  </w:r>
                </w:p>
                <w:p>
                  <w:pPr>
                    <w:pStyle w:val="26"/>
                    <w:ind w:firstLine="0" w:firstLineChars="0"/>
                    <w:jc w:val="both"/>
                    <w:rPr>
                      <w:szCs w:val="21"/>
                    </w:rPr>
                  </w:pPr>
                  <w:r>
                    <w:rPr>
                      <w:rFonts w:hint="eastAsia"/>
                      <w:szCs w:val="21"/>
                    </w:rPr>
                    <w:t>区（流）域环境质量改善目标要求情景□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预测方法</w:t>
                  </w:r>
                </w:p>
              </w:tc>
              <w:tc>
                <w:tcPr>
                  <w:tcW w:w="6849" w:type="dxa"/>
                  <w:gridSpan w:val="14"/>
                  <w:vAlign w:val="center"/>
                </w:tcPr>
                <w:p>
                  <w:pPr>
                    <w:pStyle w:val="26"/>
                    <w:ind w:firstLine="0" w:firstLineChars="0"/>
                    <w:jc w:val="both"/>
                    <w:rPr>
                      <w:szCs w:val="21"/>
                    </w:rPr>
                  </w:pPr>
                  <w:r>
                    <w:rPr>
                      <w:rFonts w:hint="eastAsia"/>
                      <w:szCs w:val="21"/>
                    </w:rPr>
                    <w:t>数值解□：解析解□；其他□</w:t>
                  </w:r>
                </w:p>
                <w:p>
                  <w:pPr>
                    <w:pStyle w:val="26"/>
                    <w:ind w:firstLine="0" w:firstLineChars="0"/>
                    <w:jc w:val="both"/>
                    <w:rPr>
                      <w:szCs w:val="21"/>
                    </w:rPr>
                  </w:pPr>
                  <w:r>
                    <w:rPr>
                      <w:rFonts w:hint="eastAsia"/>
                      <w:szCs w:val="21"/>
                    </w:rPr>
                    <w:t>导则推荐模式□：其他□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restart"/>
                  <w:vAlign w:val="center"/>
                </w:tcPr>
                <w:p>
                  <w:pPr>
                    <w:pStyle w:val="26"/>
                    <w:ind w:firstLine="0" w:firstLineChars="0"/>
                    <w:rPr>
                      <w:szCs w:val="21"/>
                    </w:rPr>
                  </w:pPr>
                  <w:r>
                    <w:rPr>
                      <w:rFonts w:hint="eastAsia"/>
                      <w:szCs w:val="21"/>
                    </w:rPr>
                    <w:t>影响评价</w:t>
                  </w:r>
                </w:p>
              </w:tc>
              <w:tc>
                <w:tcPr>
                  <w:tcW w:w="1092" w:type="dxa"/>
                  <w:vAlign w:val="center"/>
                </w:tcPr>
                <w:p>
                  <w:pPr>
                    <w:pStyle w:val="26"/>
                    <w:ind w:firstLine="0" w:firstLineChars="0"/>
                    <w:rPr>
                      <w:szCs w:val="21"/>
                    </w:rPr>
                  </w:pPr>
                  <w:r>
                    <w:rPr>
                      <w:rFonts w:hint="eastAsia"/>
                      <w:szCs w:val="21"/>
                    </w:rPr>
                    <w:t>水污染控制和水环境影响减缓措施有效性评价</w:t>
                  </w:r>
                </w:p>
              </w:tc>
              <w:tc>
                <w:tcPr>
                  <w:tcW w:w="6849" w:type="dxa"/>
                  <w:gridSpan w:val="14"/>
                  <w:vAlign w:val="center"/>
                </w:tcPr>
                <w:p>
                  <w:pPr>
                    <w:pStyle w:val="26"/>
                    <w:ind w:firstLine="0" w:firstLineChars="0"/>
                    <w:jc w:val="both"/>
                    <w:rPr>
                      <w:szCs w:val="21"/>
                    </w:rPr>
                  </w:pPr>
                  <w:r>
                    <w:rPr>
                      <w:rFonts w:hint="eastAsia"/>
                      <w:szCs w:val="21"/>
                    </w:rPr>
                    <w:t>区（流）域水环境质量改善目标□；替代削减源☑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水环境影响评价</w:t>
                  </w:r>
                </w:p>
              </w:tc>
              <w:tc>
                <w:tcPr>
                  <w:tcW w:w="6849" w:type="dxa"/>
                  <w:gridSpan w:val="14"/>
                  <w:vAlign w:val="center"/>
                </w:tcPr>
                <w:p>
                  <w:pPr>
                    <w:pStyle w:val="26"/>
                    <w:ind w:firstLine="0" w:firstLineChars="0"/>
                    <w:jc w:val="both"/>
                    <w:rPr>
                      <w:szCs w:val="21"/>
                    </w:rPr>
                  </w:pPr>
                  <w:r>
                    <w:rPr>
                      <w:rFonts w:hint="eastAsia"/>
                      <w:szCs w:val="21"/>
                    </w:rPr>
                    <w:t>排放口混合区外满足水环境管理要求□</w:t>
                  </w:r>
                </w:p>
                <w:p>
                  <w:pPr>
                    <w:pStyle w:val="26"/>
                    <w:ind w:firstLine="0" w:firstLineChars="0"/>
                    <w:jc w:val="both"/>
                    <w:rPr>
                      <w:szCs w:val="21"/>
                    </w:rPr>
                  </w:pPr>
                  <w:r>
                    <w:rPr>
                      <w:rFonts w:hint="eastAsia"/>
                      <w:szCs w:val="21"/>
                    </w:rPr>
                    <w:t>水环境功能区或水功能区、近岸海域环境功能区水质达标□</w:t>
                  </w:r>
                </w:p>
                <w:p>
                  <w:pPr>
                    <w:pStyle w:val="26"/>
                    <w:ind w:firstLine="0" w:firstLineChars="0"/>
                    <w:jc w:val="both"/>
                    <w:rPr>
                      <w:szCs w:val="21"/>
                    </w:rPr>
                  </w:pPr>
                  <w:r>
                    <w:rPr>
                      <w:rFonts w:hint="eastAsia"/>
                      <w:szCs w:val="21"/>
                    </w:rPr>
                    <w:t>满足水环境保护目标水域水环境质量要求□</w:t>
                  </w:r>
                </w:p>
                <w:p>
                  <w:pPr>
                    <w:pStyle w:val="26"/>
                    <w:ind w:firstLine="0" w:firstLineChars="0"/>
                    <w:jc w:val="both"/>
                    <w:rPr>
                      <w:szCs w:val="21"/>
                    </w:rPr>
                  </w:pPr>
                  <w:r>
                    <w:rPr>
                      <w:rFonts w:hint="eastAsia"/>
                      <w:szCs w:val="21"/>
                    </w:rPr>
                    <w:t>水环境控制单元或断面水质达标□</w:t>
                  </w:r>
                </w:p>
                <w:p>
                  <w:pPr>
                    <w:pStyle w:val="26"/>
                    <w:ind w:firstLine="0" w:firstLineChars="0"/>
                    <w:jc w:val="both"/>
                    <w:rPr>
                      <w:szCs w:val="21"/>
                    </w:rPr>
                  </w:pPr>
                  <w:r>
                    <w:rPr>
                      <w:rFonts w:hint="eastAsia"/>
                      <w:szCs w:val="21"/>
                    </w:rPr>
                    <w:t>满足重点水污染物排放总量控制指标要求，重点行业建设项目，主要污染物排放满足等量或减量替代要求□</w:t>
                  </w:r>
                </w:p>
                <w:p>
                  <w:pPr>
                    <w:pStyle w:val="26"/>
                    <w:ind w:firstLine="0" w:firstLineChars="0"/>
                    <w:jc w:val="both"/>
                    <w:rPr>
                      <w:szCs w:val="21"/>
                    </w:rPr>
                  </w:pPr>
                  <w:r>
                    <w:rPr>
                      <w:rFonts w:hint="eastAsia"/>
                      <w:szCs w:val="21"/>
                    </w:rPr>
                    <w:t>满足区（流）域水环境质量改善目标要求☑</w:t>
                  </w:r>
                </w:p>
                <w:p>
                  <w:pPr>
                    <w:pStyle w:val="26"/>
                    <w:ind w:firstLine="0" w:firstLineChars="0"/>
                    <w:jc w:val="both"/>
                    <w:rPr>
                      <w:szCs w:val="21"/>
                    </w:rPr>
                  </w:pPr>
                  <w:r>
                    <w:rPr>
                      <w:rFonts w:hint="eastAsia"/>
                      <w:szCs w:val="21"/>
                    </w:rPr>
                    <w:t>水文要素影响型建设项目同时应包括水文情势变化评价、主要水文特征值影响评价、生态流量符合性评价□</w:t>
                  </w:r>
                </w:p>
                <w:p>
                  <w:pPr>
                    <w:pStyle w:val="26"/>
                    <w:ind w:firstLine="0" w:firstLineChars="0"/>
                    <w:jc w:val="both"/>
                    <w:rPr>
                      <w:szCs w:val="21"/>
                    </w:rPr>
                  </w:pPr>
                  <w:r>
                    <w:rPr>
                      <w:rFonts w:hint="eastAsia"/>
                      <w:szCs w:val="21"/>
                    </w:rPr>
                    <w:t>对于新设或调整入河（湖库、近岸海域）排放口的建设项目，应包括排放口设置的环境合理性评价□</w:t>
                  </w:r>
                </w:p>
                <w:p>
                  <w:pPr>
                    <w:pStyle w:val="26"/>
                    <w:ind w:firstLine="0" w:firstLineChars="0"/>
                    <w:jc w:val="both"/>
                    <w:rPr>
                      <w:szCs w:val="21"/>
                    </w:rPr>
                  </w:pPr>
                  <w:r>
                    <w:rPr>
                      <w:rFonts w:hint="eastAsia"/>
                      <w:szCs w:val="21"/>
                    </w:rPr>
                    <w:t>满足生态保护红线、水环境质量底线、资源利用上线和环境准入清单管理要求□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tblHeader/>
                <w:jc w:val="center"/>
              </w:trPr>
              <w:tc>
                <w:tcPr>
                  <w:tcW w:w="355" w:type="dxa"/>
                  <w:vMerge w:val="continue"/>
                  <w:vAlign w:val="center"/>
                </w:tcPr>
                <w:p>
                  <w:pPr>
                    <w:pStyle w:val="26"/>
                    <w:ind w:firstLine="0" w:firstLineChars="0"/>
                    <w:rPr>
                      <w:szCs w:val="21"/>
                    </w:rPr>
                  </w:pPr>
                </w:p>
              </w:tc>
              <w:tc>
                <w:tcPr>
                  <w:tcW w:w="1092" w:type="dxa"/>
                  <w:vMerge w:val="restart"/>
                  <w:vAlign w:val="center"/>
                </w:tcPr>
                <w:p>
                  <w:pPr>
                    <w:pStyle w:val="26"/>
                    <w:ind w:firstLine="0" w:firstLineChars="0"/>
                    <w:rPr>
                      <w:szCs w:val="21"/>
                    </w:rPr>
                  </w:pPr>
                  <w:r>
                    <w:rPr>
                      <w:rFonts w:hint="eastAsia"/>
                      <w:szCs w:val="21"/>
                    </w:rPr>
                    <w:t>污染物排放量核算</w:t>
                  </w:r>
                </w:p>
              </w:tc>
              <w:tc>
                <w:tcPr>
                  <w:tcW w:w="2481" w:type="dxa"/>
                  <w:gridSpan w:val="3"/>
                  <w:vAlign w:val="center"/>
                </w:tcPr>
                <w:p>
                  <w:pPr>
                    <w:pStyle w:val="26"/>
                    <w:ind w:firstLine="0" w:firstLineChars="0"/>
                    <w:rPr>
                      <w:szCs w:val="21"/>
                    </w:rPr>
                  </w:pPr>
                  <w:r>
                    <w:rPr>
                      <w:rFonts w:hint="eastAsia"/>
                      <w:szCs w:val="21"/>
                    </w:rPr>
                    <w:t>污染物名称</w:t>
                  </w:r>
                </w:p>
              </w:tc>
              <w:tc>
                <w:tcPr>
                  <w:tcW w:w="1708" w:type="dxa"/>
                  <w:gridSpan w:val="6"/>
                  <w:vAlign w:val="center"/>
                </w:tcPr>
                <w:p>
                  <w:pPr>
                    <w:pStyle w:val="26"/>
                    <w:ind w:firstLine="0" w:firstLineChars="0"/>
                    <w:rPr>
                      <w:szCs w:val="21"/>
                    </w:rPr>
                  </w:pPr>
                  <w:r>
                    <w:rPr>
                      <w:rFonts w:hint="eastAsia"/>
                      <w:szCs w:val="21"/>
                    </w:rPr>
                    <w:t>排放量/（t/a）</w:t>
                  </w:r>
                </w:p>
              </w:tc>
              <w:tc>
                <w:tcPr>
                  <w:tcW w:w="2660" w:type="dxa"/>
                  <w:gridSpan w:val="5"/>
                  <w:vAlign w:val="center"/>
                </w:tcPr>
                <w:p>
                  <w:pPr>
                    <w:pStyle w:val="26"/>
                    <w:ind w:firstLine="0" w:firstLineChars="0"/>
                    <w:rPr>
                      <w:szCs w:val="21"/>
                    </w:rPr>
                  </w:pPr>
                  <w:r>
                    <w:rPr>
                      <w:rFonts w:hint="eastAsia"/>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tblHeader/>
                <w:jc w:val="center"/>
              </w:trPr>
              <w:tc>
                <w:tcPr>
                  <w:tcW w:w="355" w:type="dxa"/>
                  <w:vMerge w:val="continue"/>
                  <w:vAlign w:val="center"/>
                </w:tcPr>
                <w:p>
                  <w:pPr>
                    <w:pStyle w:val="26"/>
                    <w:ind w:firstLine="0" w:firstLineChars="0"/>
                    <w:jc w:val="both"/>
                    <w:rPr>
                      <w:szCs w:val="21"/>
                    </w:rPr>
                  </w:pPr>
                </w:p>
              </w:tc>
              <w:tc>
                <w:tcPr>
                  <w:tcW w:w="1092" w:type="dxa"/>
                  <w:vMerge w:val="continue"/>
                  <w:vAlign w:val="center"/>
                </w:tcPr>
                <w:p>
                  <w:pPr>
                    <w:pStyle w:val="26"/>
                    <w:ind w:firstLine="0" w:firstLineChars="0"/>
                    <w:jc w:val="both"/>
                    <w:rPr>
                      <w:szCs w:val="21"/>
                    </w:rPr>
                  </w:pPr>
                </w:p>
              </w:tc>
              <w:tc>
                <w:tcPr>
                  <w:tcW w:w="2481" w:type="dxa"/>
                  <w:gridSpan w:val="3"/>
                  <w:vAlign w:val="center"/>
                </w:tcPr>
                <w:p>
                  <w:pPr>
                    <w:pStyle w:val="26"/>
                    <w:ind w:firstLine="0" w:firstLineChars="0"/>
                    <w:rPr>
                      <w:szCs w:val="21"/>
                    </w:rPr>
                  </w:pPr>
                  <w:r>
                    <w:rPr>
                      <w:szCs w:val="21"/>
                    </w:rPr>
                    <w:t>COD</w:t>
                  </w:r>
                  <w:r>
                    <w:rPr>
                      <w:szCs w:val="21"/>
                      <w:vertAlign w:val="subscript"/>
                    </w:rPr>
                    <w:t>Cr</w:t>
                  </w:r>
                </w:p>
              </w:tc>
              <w:tc>
                <w:tcPr>
                  <w:tcW w:w="1708" w:type="dxa"/>
                  <w:gridSpan w:val="6"/>
                  <w:vAlign w:val="center"/>
                </w:tcPr>
                <w:p>
                  <w:pPr>
                    <w:pStyle w:val="26"/>
                    <w:ind w:firstLine="0" w:firstLineChars="0"/>
                    <w:rPr>
                      <w:szCs w:val="21"/>
                    </w:rPr>
                  </w:pPr>
                  <w:r>
                    <w:rPr>
                      <w:rFonts w:hint="eastAsia"/>
                      <w:szCs w:val="21"/>
                    </w:rPr>
                    <w:t>0.068</w:t>
                  </w:r>
                </w:p>
              </w:tc>
              <w:tc>
                <w:tcPr>
                  <w:tcW w:w="2660" w:type="dxa"/>
                  <w:gridSpan w:val="5"/>
                  <w:vAlign w:val="center"/>
                </w:tcPr>
                <w:p>
                  <w:pPr>
                    <w:pStyle w:val="26"/>
                    <w:ind w:firstLine="0" w:firstLineChars="0"/>
                    <w:rPr>
                      <w:szCs w:val="21"/>
                    </w:rPr>
                  </w:pPr>
                  <w:r>
                    <w:rPr>
                      <w:rFonts w:hint="eastAsia"/>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tblHeader/>
                <w:jc w:val="center"/>
              </w:trPr>
              <w:tc>
                <w:tcPr>
                  <w:tcW w:w="355" w:type="dxa"/>
                  <w:vMerge w:val="continue"/>
                  <w:vAlign w:val="center"/>
                </w:tcPr>
                <w:p>
                  <w:pPr>
                    <w:pStyle w:val="26"/>
                    <w:ind w:firstLine="0" w:firstLineChars="0"/>
                    <w:jc w:val="both"/>
                    <w:rPr>
                      <w:szCs w:val="21"/>
                    </w:rPr>
                  </w:pPr>
                </w:p>
              </w:tc>
              <w:tc>
                <w:tcPr>
                  <w:tcW w:w="1092" w:type="dxa"/>
                  <w:vMerge w:val="continue"/>
                  <w:vAlign w:val="center"/>
                </w:tcPr>
                <w:p>
                  <w:pPr>
                    <w:pStyle w:val="26"/>
                    <w:ind w:firstLine="0" w:firstLineChars="0"/>
                    <w:jc w:val="both"/>
                    <w:rPr>
                      <w:szCs w:val="21"/>
                    </w:rPr>
                  </w:pPr>
                </w:p>
              </w:tc>
              <w:tc>
                <w:tcPr>
                  <w:tcW w:w="2481" w:type="dxa"/>
                  <w:gridSpan w:val="3"/>
                  <w:vAlign w:val="center"/>
                </w:tcPr>
                <w:p>
                  <w:pPr>
                    <w:pStyle w:val="26"/>
                    <w:ind w:firstLine="0" w:firstLineChars="0"/>
                    <w:rPr>
                      <w:szCs w:val="21"/>
                    </w:rPr>
                  </w:pPr>
                  <w:r>
                    <w:rPr>
                      <w:szCs w:val="21"/>
                    </w:rPr>
                    <w:t>BOD</w:t>
                  </w:r>
                  <w:r>
                    <w:rPr>
                      <w:szCs w:val="21"/>
                      <w:vertAlign w:val="subscript"/>
                    </w:rPr>
                    <w:t>5</w:t>
                  </w:r>
                </w:p>
              </w:tc>
              <w:tc>
                <w:tcPr>
                  <w:tcW w:w="1708" w:type="dxa"/>
                  <w:gridSpan w:val="6"/>
                  <w:vAlign w:val="center"/>
                </w:tcPr>
                <w:p>
                  <w:pPr>
                    <w:pStyle w:val="26"/>
                    <w:ind w:firstLine="0" w:firstLineChars="0"/>
                    <w:rPr>
                      <w:szCs w:val="21"/>
                    </w:rPr>
                  </w:pPr>
                  <w:r>
                    <w:rPr>
                      <w:rFonts w:hint="eastAsia"/>
                      <w:szCs w:val="21"/>
                    </w:rPr>
                    <w:t>0.041</w:t>
                  </w:r>
                </w:p>
              </w:tc>
              <w:tc>
                <w:tcPr>
                  <w:tcW w:w="2660" w:type="dxa"/>
                  <w:gridSpan w:val="5"/>
                  <w:vAlign w:val="center"/>
                </w:tcPr>
                <w:p>
                  <w:pPr>
                    <w:pStyle w:val="26"/>
                    <w:ind w:firstLine="0" w:firstLineChars="0"/>
                    <w:rPr>
                      <w:szCs w:val="21"/>
                    </w:rPr>
                  </w:pPr>
                  <w:r>
                    <w:rPr>
                      <w:rFonts w:hint="eastAsia"/>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tblHeader/>
                <w:jc w:val="center"/>
              </w:trPr>
              <w:tc>
                <w:tcPr>
                  <w:tcW w:w="355" w:type="dxa"/>
                  <w:vMerge w:val="continue"/>
                  <w:vAlign w:val="center"/>
                </w:tcPr>
                <w:p>
                  <w:pPr>
                    <w:pStyle w:val="26"/>
                    <w:ind w:firstLine="0" w:firstLineChars="0"/>
                    <w:jc w:val="both"/>
                    <w:rPr>
                      <w:szCs w:val="21"/>
                    </w:rPr>
                  </w:pPr>
                </w:p>
              </w:tc>
              <w:tc>
                <w:tcPr>
                  <w:tcW w:w="1092" w:type="dxa"/>
                  <w:vMerge w:val="continue"/>
                  <w:vAlign w:val="center"/>
                </w:tcPr>
                <w:p>
                  <w:pPr>
                    <w:pStyle w:val="26"/>
                    <w:ind w:firstLine="0" w:firstLineChars="0"/>
                    <w:jc w:val="both"/>
                    <w:rPr>
                      <w:szCs w:val="21"/>
                    </w:rPr>
                  </w:pPr>
                </w:p>
              </w:tc>
              <w:tc>
                <w:tcPr>
                  <w:tcW w:w="2481" w:type="dxa"/>
                  <w:gridSpan w:val="3"/>
                  <w:vAlign w:val="center"/>
                </w:tcPr>
                <w:p>
                  <w:pPr>
                    <w:pStyle w:val="26"/>
                    <w:ind w:firstLine="0" w:firstLineChars="0"/>
                    <w:rPr>
                      <w:szCs w:val="21"/>
                    </w:rPr>
                  </w:pPr>
                  <w:r>
                    <w:rPr>
                      <w:szCs w:val="21"/>
                    </w:rPr>
                    <w:t>SS</w:t>
                  </w:r>
                </w:p>
              </w:tc>
              <w:tc>
                <w:tcPr>
                  <w:tcW w:w="1708" w:type="dxa"/>
                  <w:gridSpan w:val="6"/>
                  <w:vAlign w:val="center"/>
                </w:tcPr>
                <w:p>
                  <w:pPr>
                    <w:pStyle w:val="26"/>
                    <w:ind w:firstLine="0" w:firstLineChars="0"/>
                  </w:pPr>
                  <w:r>
                    <w:rPr>
                      <w:rFonts w:hint="eastAsia"/>
                    </w:rPr>
                    <w:t>0.027</w:t>
                  </w:r>
                </w:p>
              </w:tc>
              <w:tc>
                <w:tcPr>
                  <w:tcW w:w="2660" w:type="dxa"/>
                  <w:gridSpan w:val="5"/>
                  <w:vAlign w:val="center"/>
                </w:tcPr>
                <w:p>
                  <w:pPr>
                    <w:pStyle w:val="26"/>
                    <w:ind w:firstLine="0" w:firstLineChars="0"/>
                    <w:rPr>
                      <w:szCs w:val="21"/>
                    </w:rPr>
                  </w:pPr>
                  <w:r>
                    <w:rPr>
                      <w:rFonts w:hint="eastAsia"/>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tblHeader/>
                <w:jc w:val="center"/>
              </w:trPr>
              <w:tc>
                <w:tcPr>
                  <w:tcW w:w="355" w:type="dxa"/>
                  <w:vMerge w:val="continue"/>
                  <w:vAlign w:val="center"/>
                </w:tcPr>
                <w:p>
                  <w:pPr>
                    <w:pStyle w:val="26"/>
                    <w:ind w:firstLine="0" w:firstLineChars="0"/>
                    <w:jc w:val="both"/>
                    <w:rPr>
                      <w:szCs w:val="21"/>
                    </w:rPr>
                  </w:pPr>
                </w:p>
              </w:tc>
              <w:tc>
                <w:tcPr>
                  <w:tcW w:w="1092" w:type="dxa"/>
                  <w:vMerge w:val="continue"/>
                  <w:vAlign w:val="center"/>
                </w:tcPr>
                <w:p>
                  <w:pPr>
                    <w:pStyle w:val="26"/>
                    <w:ind w:firstLine="0" w:firstLineChars="0"/>
                    <w:jc w:val="both"/>
                    <w:rPr>
                      <w:szCs w:val="21"/>
                    </w:rPr>
                  </w:pPr>
                </w:p>
              </w:tc>
              <w:tc>
                <w:tcPr>
                  <w:tcW w:w="2481" w:type="dxa"/>
                  <w:gridSpan w:val="3"/>
                  <w:vAlign w:val="center"/>
                </w:tcPr>
                <w:p>
                  <w:pPr>
                    <w:pStyle w:val="26"/>
                    <w:ind w:firstLine="0" w:firstLineChars="0"/>
                    <w:rPr>
                      <w:szCs w:val="21"/>
                    </w:rPr>
                  </w:pPr>
                  <w:r>
                    <w:rPr>
                      <w:rFonts w:hint="eastAsia"/>
                      <w:szCs w:val="21"/>
                    </w:rPr>
                    <w:t>氨氮</w:t>
                  </w:r>
                </w:p>
              </w:tc>
              <w:tc>
                <w:tcPr>
                  <w:tcW w:w="1708" w:type="dxa"/>
                  <w:gridSpan w:val="6"/>
                  <w:vAlign w:val="center"/>
                </w:tcPr>
                <w:p>
                  <w:pPr>
                    <w:pStyle w:val="26"/>
                    <w:ind w:firstLine="0" w:firstLineChars="0"/>
                    <w:rPr>
                      <w:szCs w:val="21"/>
                    </w:rPr>
                  </w:pPr>
                  <w:r>
                    <w:rPr>
                      <w:rFonts w:hint="eastAsia"/>
                      <w:szCs w:val="21"/>
                    </w:rPr>
                    <w:t>0.005</w:t>
                  </w:r>
                </w:p>
              </w:tc>
              <w:tc>
                <w:tcPr>
                  <w:tcW w:w="2660" w:type="dxa"/>
                  <w:gridSpan w:val="5"/>
                  <w:vAlign w:val="center"/>
                </w:tcPr>
                <w:p>
                  <w:pPr>
                    <w:pStyle w:val="26"/>
                    <w:ind w:firstLine="0" w:firstLineChars="0"/>
                    <w:rPr>
                      <w:szCs w:val="21"/>
                    </w:rPr>
                  </w:pPr>
                  <w:r>
                    <w:rPr>
                      <w:rFonts w:hint="eastAsia"/>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tblHeader/>
                <w:jc w:val="center"/>
              </w:trPr>
              <w:tc>
                <w:tcPr>
                  <w:tcW w:w="355" w:type="dxa"/>
                  <w:vMerge w:val="continue"/>
                  <w:vAlign w:val="center"/>
                </w:tcPr>
                <w:p>
                  <w:pPr>
                    <w:pStyle w:val="26"/>
                    <w:ind w:firstLine="0" w:firstLineChars="0"/>
                    <w:rPr>
                      <w:szCs w:val="21"/>
                    </w:rPr>
                  </w:pPr>
                </w:p>
              </w:tc>
              <w:tc>
                <w:tcPr>
                  <w:tcW w:w="1092" w:type="dxa"/>
                  <w:vMerge w:val="restart"/>
                  <w:vAlign w:val="center"/>
                </w:tcPr>
                <w:p>
                  <w:pPr>
                    <w:pStyle w:val="26"/>
                    <w:ind w:firstLine="0" w:firstLineChars="0"/>
                    <w:rPr>
                      <w:szCs w:val="21"/>
                    </w:rPr>
                  </w:pPr>
                  <w:r>
                    <w:rPr>
                      <w:rFonts w:hint="eastAsia"/>
                      <w:szCs w:val="21"/>
                    </w:rPr>
                    <w:t>替代源排放情况</w:t>
                  </w:r>
                </w:p>
              </w:tc>
              <w:tc>
                <w:tcPr>
                  <w:tcW w:w="1438" w:type="dxa"/>
                  <w:gridSpan w:val="2"/>
                  <w:vAlign w:val="center"/>
                </w:tcPr>
                <w:p>
                  <w:pPr>
                    <w:pStyle w:val="26"/>
                    <w:ind w:firstLine="0" w:firstLineChars="0"/>
                    <w:rPr>
                      <w:szCs w:val="21"/>
                    </w:rPr>
                  </w:pPr>
                  <w:r>
                    <w:rPr>
                      <w:rFonts w:hint="eastAsia"/>
                      <w:szCs w:val="21"/>
                    </w:rPr>
                    <w:t>染源名称</w:t>
                  </w:r>
                </w:p>
              </w:tc>
              <w:tc>
                <w:tcPr>
                  <w:tcW w:w="1514" w:type="dxa"/>
                  <w:gridSpan w:val="3"/>
                  <w:vAlign w:val="center"/>
                </w:tcPr>
                <w:p>
                  <w:pPr>
                    <w:pStyle w:val="26"/>
                    <w:ind w:firstLine="0" w:firstLineChars="0"/>
                    <w:rPr>
                      <w:szCs w:val="21"/>
                    </w:rPr>
                  </w:pPr>
                  <w:r>
                    <w:rPr>
                      <w:rFonts w:hint="eastAsia"/>
                      <w:szCs w:val="21"/>
                    </w:rPr>
                    <w:t>排污许可证编号</w:t>
                  </w:r>
                </w:p>
              </w:tc>
              <w:tc>
                <w:tcPr>
                  <w:tcW w:w="1107" w:type="dxa"/>
                  <w:gridSpan w:val="3"/>
                  <w:vAlign w:val="center"/>
                </w:tcPr>
                <w:p>
                  <w:pPr>
                    <w:pStyle w:val="26"/>
                    <w:ind w:firstLine="0" w:firstLineChars="0"/>
                    <w:rPr>
                      <w:szCs w:val="21"/>
                    </w:rPr>
                  </w:pPr>
                  <w:r>
                    <w:rPr>
                      <w:rFonts w:hint="eastAsia"/>
                      <w:szCs w:val="21"/>
                    </w:rPr>
                    <w:t>污染物名称</w:t>
                  </w:r>
                </w:p>
              </w:tc>
              <w:tc>
                <w:tcPr>
                  <w:tcW w:w="1200" w:type="dxa"/>
                  <w:gridSpan w:val="3"/>
                  <w:vAlign w:val="center"/>
                </w:tcPr>
                <w:p>
                  <w:pPr>
                    <w:pStyle w:val="26"/>
                    <w:ind w:firstLine="0" w:firstLineChars="0"/>
                    <w:rPr>
                      <w:szCs w:val="21"/>
                    </w:rPr>
                  </w:pPr>
                  <w:r>
                    <w:rPr>
                      <w:rFonts w:hint="eastAsia"/>
                      <w:szCs w:val="21"/>
                    </w:rPr>
                    <w:t>排放量/（t/a）</w:t>
                  </w:r>
                </w:p>
              </w:tc>
              <w:tc>
                <w:tcPr>
                  <w:tcW w:w="1590" w:type="dxa"/>
                  <w:gridSpan w:val="3"/>
                  <w:vAlign w:val="center"/>
                </w:tcPr>
                <w:p>
                  <w:pPr>
                    <w:pStyle w:val="26"/>
                    <w:ind w:firstLine="0" w:firstLineChars="0"/>
                    <w:rPr>
                      <w:szCs w:val="21"/>
                    </w:rPr>
                  </w:pPr>
                  <w:r>
                    <w:rPr>
                      <w:rFonts w:hint="eastAsia"/>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blHeader/>
                <w:jc w:val="center"/>
              </w:trPr>
              <w:tc>
                <w:tcPr>
                  <w:tcW w:w="355" w:type="dxa"/>
                  <w:vMerge w:val="continue"/>
                  <w:vAlign w:val="center"/>
                </w:tcPr>
                <w:p>
                  <w:pPr>
                    <w:pStyle w:val="26"/>
                    <w:ind w:firstLine="0" w:firstLineChars="0"/>
                    <w:jc w:val="both"/>
                    <w:rPr>
                      <w:szCs w:val="21"/>
                    </w:rPr>
                  </w:pPr>
                </w:p>
              </w:tc>
              <w:tc>
                <w:tcPr>
                  <w:tcW w:w="1092" w:type="dxa"/>
                  <w:vMerge w:val="continue"/>
                  <w:vAlign w:val="center"/>
                </w:tcPr>
                <w:p>
                  <w:pPr>
                    <w:pStyle w:val="26"/>
                    <w:ind w:firstLine="0" w:firstLineChars="0"/>
                    <w:jc w:val="both"/>
                    <w:rPr>
                      <w:szCs w:val="21"/>
                    </w:rPr>
                  </w:pPr>
                </w:p>
              </w:tc>
              <w:tc>
                <w:tcPr>
                  <w:tcW w:w="1438" w:type="dxa"/>
                  <w:gridSpan w:val="2"/>
                  <w:vAlign w:val="center"/>
                </w:tcPr>
                <w:p>
                  <w:pPr>
                    <w:pStyle w:val="26"/>
                    <w:ind w:firstLine="0" w:firstLineChars="0"/>
                    <w:rPr>
                      <w:szCs w:val="21"/>
                    </w:rPr>
                  </w:pPr>
                  <w:r>
                    <w:rPr>
                      <w:rFonts w:hint="eastAsia"/>
                      <w:szCs w:val="21"/>
                    </w:rPr>
                    <w:t>/</w:t>
                  </w:r>
                </w:p>
              </w:tc>
              <w:tc>
                <w:tcPr>
                  <w:tcW w:w="1514" w:type="dxa"/>
                  <w:gridSpan w:val="3"/>
                  <w:vAlign w:val="center"/>
                </w:tcPr>
                <w:p>
                  <w:pPr>
                    <w:pStyle w:val="26"/>
                    <w:ind w:firstLine="0" w:firstLineChars="0"/>
                    <w:rPr>
                      <w:szCs w:val="21"/>
                    </w:rPr>
                  </w:pPr>
                  <w:r>
                    <w:rPr>
                      <w:rFonts w:hint="eastAsia"/>
                      <w:szCs w:val="21"/>
                    </w:rPr>
                    <w:t>/</w:t>
                  </w:r>
                </w:p>
              </w:tc>
              <w:tc>
                <w:tcPr>
                  <w:tcW w:w="1107" w:type="dxa"/>
                  <w:gridSpan w:val="3"/>
                  <w:vAlign w:val="center"/>
                </w:tcPr>
                <w:p>
                  <w:pPr>
                    <w:pStyle w:val="26"/>
                    <w:ind w:firstLine="0" w:firstLineChars="0"/>
                    <w:rPr>
                      <w:szCs w:val="21"/>
                    </w:rPr>
                  </w:pPr>
                  <w:r>
                    <w:rPr>
                      <w:rFonts w:hint="eastAsia"/>
                      <w:szCs w:val="21"/>
                    </w:rPr>
                    <w:t>/</w:t>
                  </w:r>
                </w:p>
              </w:tc>
              <w:tc>
                <w:tcPr>
                  <w:tcW w:w="1200" w:type="dxa"/>
                  <w:gridSpan w:val="3"/>
                  <w:vAlign w:val="center"/>
                </w:tcPr>
                <w:p>
                  <w:pPr>
                    <w:pStyle w:val="26"/>
                    <w:ind w:firstLine="0" w:firstLineChars="0"/>
                    <w:rPr>
                      <w:szCs w:val="21"/>
                    </w:rPr>
                  </w:pPr>
                  <w:r>
                    <w:rPr>
                      <w:rFonts w:hint="eastAsia"/>
                      <w:szCs w:val="21"/>
                    </w:rPr>
                    <w:t>/</w:t>
                  </w:r>
                </w:p>
              </w:tc>
              <w:tc>
                <w:tcPr>
                  <w:tcW w:w="1590" w:type="dxa"/>
                  <w:gridSpan w:val="3"/>
                  <w:vAlign w:val="center"/>
                </w:tcPr>
                <w:p>
                  <w:pPr>
                    <w:pStyle w:val="26"/>
                    <w:ind w:firstLine="0" w:firstLineChars="0"/>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生态流量确定</w:t>
                  </w:r>
                </w:p>
              </w:tc>
              <w:tc>
                <w:tcPr>
                  <w:tcW w:w="6849" w:type="dxa"/>
                  <w:gridSpan w:val="14"/>
                  <w:vAlign w:val="center"/>
                </w:tcPr>
                <w:p>
                  <w:pPr>
                    <w:pStyle w:val="26"/>
                    <w:ind w:firstLine="0" w:firstLineChars="0"/>
                    <w:jc w:val="both"/>
                    <w:rPr>
                      <w:szCs w:val="21"/>
                    </w:rPr>
                  </w:pPr>
                  <w:r>
                    <w:rPr>
                      <w:rFonts w:hint="eastAsia"/>
                      <w:szCs w:val="21"/>
                    </w:rPr>
                    <w:t>生态流量：一般水期（）m³/s；鱼类繁殖期（）m³/s；其他（）m³/s</w:t>
                  </w:r>
                </w:p>
                <w:p>
                  <w:pPr>
                    <w:pStyle w:val="26"/>
                    <w:ind w:firstLine="0" w:firstLineChars="0"/>
                    <w:jc w:val="both"/>
                    <w:rPr>
                      <w:szCs w:val="21"/>
                    </w:rPr>
                  </w:pPr>
                  <w:r>
                    <w:rPr>
                      <w:rFonts w:hint="eastAsia"/>
                      <w:szCs w:val="21"/>
                    </w:rPr>
                    <w:t>生态水位：一般水期（）m；鱼类繁殖期（）m；其他（）m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restart"/>
                  <w:vAlign w:val="center"/>
                </w:tcPr>
                <w:p>
                  <w:pPr>
                    <w:pStyle w:val="26"/>
                    <w:ind w:firstLine="0" w:firstLineChars="0"/>
                    <w:rPr>
                      <w:szCs w:val="21"/>
                    </w:rPr>
                  </w:pPr>
                  <w:r>
                    <w:rPr>
                      <w:rFonts w:hint="eastAsia"/>
                      <w:szCs w:val="21"/>
                    </w:rPr>
                    <w:t>防治措施</w:t>
                  </w:r>
                </w:p>
              </w:tc>
              <w:tc>
                <w:tcPr>
                  <w:tcW w:w="1092" w:type="dxa"/>
                  <w:vAlign w:val="center"/>
                </w:tcPr>
                <w:p>
                  <w:pPr>
                    <w:pStyle w:val="26"/>
                    <w:ind w:firstLine="0" w:firstLineChars="0"/>
                    <w:rPr>
                      <w:szCs w:val="21"/>
                    </w:rPr>
                  </w:pPr>
                  <w:r>
                    <w:rPr>
                      <w:rFonts w:hint="eastAsia"/>
                      <w:szCs w:val="21"/>
                    </w:rPr>
                    <w:t>环保措施</w:t>
                  </w:r>
                </w:p>
              </w:tc>
              <w:tc>
                <w:tcPr>
                  <w:tcW w:w="6849" w:type="dxa"/>
                  <w:gridSpan w:val="14"/>
                  <w:vAlign w:val="center"/>
                </w:tcPr>
                <w:p>
                  <w:pPr>
                    <w:pStyle w:val="26"/>
                    <w:ind w:firstLine="0" w:firstLineChars="0"/>
                    <w:jc w:val="both"/>
                    <w:rPr>
                      <w:szCs w:val="21"/>
                    </w:rPr>
                  </w:pPr>
                  <w:r>
                    <w:rPr>
                      <w:rFonts w:hint="eastAsia"/>
                      <w:szCs w:val="21"/>
                    </w:rPr>
                    <w:t>污水处理设施□；水文减缓设施□；生态流量保障设施□；区域削减□；依托其他工程措施□；其他□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Merge w:val="restart"/>
                  <w:vAlign w:val="center"/>
                </w:tcPr>
                <w:p>
                  <w:pPr>
                    <w:pStyle w:val="26"/>
                    <w:ind w:firstLine="0" w:firstLineChars="0"/>
                    <w:rPr>
                      <w:szCs w:val="21"/>
                    </w:rPr>
                  </w:pPr>
                  <w:r>
                    <w:rPr>
                      <w:rFonts w:hint="eastAsia"/>
                      <w:szCs w:val="21"/>
                    </w:rPr>
                    <w:t>监测计划</w:t>
                  </w:r>
                </w:p>
              </w:tc>
              <w:tc>
                <w:tcPr>
                  <w:tcW w:w="1336" w:type="dxa"/>
                  <w:vAlign w:val="center"/>
                </w:tcPr>
                <w:p>
                  <w:pPr>
                    <w:pStyle w:val="26"/>
                    <w:ind w:firstLine="0" w:firstLineChars="0"/>
                    <w:rPr>
                      <w:szCs w:val="21"/>
                    </w:rPr>
                  </w:pPr>
                </w:p>
              </w:tc>
              <w:tc>
                <w:tcPr>
                  <w:tcW w:w="2853" w:type="dxa"/>
                  <w:gridSpan w:val="8"/>
                  <w:vAlign w:val="center"/>
                </w:tcPr>
                <w:p>
                  <w:pPr>
                    <w:pStyle w:val="26"/>
                    <w:ind w:firstLine="0" w:firstLineChars="0"/>
                    <w:rPr>
                      <w:szCs w:val="21"/>
                    </w:rPr>
                  </w:pPr>
                  <w:r>
                    <w:rPr>
                      <w:rFonts w:hint="eastAsia"/>
                      <w:szCs w:val="21"/>
                    </w:rPr>
                    <w:t>环境质量</w:t>
                  </w:r>
                </w:p>
              </w:tc>
              <w:tc>
                <w:tcPr>
                  <w:tcW w:w="2660" w:type="dxa"/>
                  <w:gridSpan w:val="5"/>
                  <w:vAlign w:val="center"/>
                </w:tcPr>
                <w:p>
                  <w:pPr>
                    <w:pStyle w:val="26"/>
                    <w:ind w:firstLine="0" w:firstLineChars="0"/>
                    <w:rPr>
                      <w:szCs w:val="21"/>
                    </w:rPr>
                  </w:pPr>
                  <w:r>
                    <w:rPr>
                      <w:rFonts w:hint="eastAsia"/>
                      <w:szCs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jc w:val="both"/>
                    <w:rPr>
                      <w:szCs w:val="21"/>
                    </w:rPr>
                  </w:pPr>
                </w:p>
              </w:tc>
              <w:tc>
                <w:tcPr>
                  <w:tcW w:w="1092" w:type="dxa"/>
                  <w:vMerge w:val="continue"/>
                  <w:vAlign w:val="center"/>
                </w:tcPr>
                <w:p>
                  <w:pPr>
                    <w:pStyle w:val="26"/>
                    <w:ind w:firstLine="0" w:firstLineChars="0"/>
                    <w:jc w:val="both"/>
                    <w:rPr>
                      <w:szCs w:val="21"/>
                    </w:rPr>
                  </w:pPr>
                </w:p>
              </w:tc>
              <w:tc>
                <w:tcPr>
                  <w:tcW w:w="1336" w:type="dxa"/>
                  <w:vAlign w:val="center"/>
                </w:tcPr>
                <w:p>
                  <w:pPr>
                    <w:pStyle w:val="26"/>
                    <w:ind w:firstLine="0" w:firstLineChars="0"/>
                    <w:rPr>
                      <w:szCs w:val="21"/>
                    </w:rPr>
                  </w:pPr>
                  <w:r>
                    <w:rPr>
                      <w:rFonts w:hint="eastAsia"/>
                      <w:szCs w:val="21"/>
                    </w:rPr>
                    <w:t>监测方式</w:t>
                  </w:r>
                </w:p>
              </w:tc>
              <w:tc>
                <w:tcPr>
                  <w:tcW w:w="2853" w:type="dxa"/>
                  <w:gridSpan w:val="8"/>
                  <w:vAlign w:val="center"/>
                </w:tcPr>
                <w:p>
                  <w:pPr>
                    <w:pStyle w:val="26"/>
                    <w:ind w:firstLine="0" w:firstLineChars="0"/>
                    <w:rPr>
                      <w:szCs w:val="21"/>
                    </w:rPr>
                  </w:pPr>
                  <w:r>
                    <w:rPr>
                      <w:rFonts w:hint="eastAsia"/>
                      <w:szCs w:val="21"/>
                    </w:rPr>
                    <w:t>手动□；自动□；无监测☑</w:t>
                  </w:r>
                </w:p>
              </w:tc>
              <w:tc>
                <w:tcPr>
                  <w:tcW w:w="2660" w:type="dxa"/>
                  <w:gridSpan w:val="5"/>
                  <w:vAlign w:val="center"/>
                </w:tcPr>
                <w:p>
                  <w:pPr>
                    <w:pStyle w:val="26"/>
                    <w:ind w:firstLine="0" w:firstLineChars="0"/>
                    <w:rPr>
                      <w:szCs w:val="21"/>
                    </w:rPr>
                  </w:pPr>
                  <w:r>
                    <w:rPr>
                      <w:rFonts w:hint="eastAsia"/>
                      <w:szCs w:val="21"/>
                    </w:rPr>
                    <w:t>手动☑；自动□；无监测□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jc w:val="both"/>
                    <w:rPr>
                      <w:szCs w:val="21"/>
                    </w:rPr>
                  </w:pPr>
                </w:p>
              </w:tc>
              <w:tc>
                <w:tcPr>
                  <w:tcW w:w="1092" w:type="dxa"/>
                  <w:vMerge w:val="continue"/>
                  <w:vAlign w:val="center"/>
                </w:tcPr>
                <w:p>
                  <w:pPr>
                    <w:pStyle w:val="26"/>
                    <w:ind w:firstLine="0" w:firstLineChars="0"/>
                    <w:jc w:val="both"/>
                    <w:rPr>
                      <w:szCs w:val="21"/>
                    </w:rPr>
                  </w:pPr>
                </w:p>
              </w:tc>
              <w:tc>
                <w:tcPr>
                  <w:tcW w:w="1336" w:type="dxa"/>
                  <w:vAlign w:val="center"/>
                </w:tcPr>
                <w:p>
                  <w:pPr>
                    <w:pStyle w:val="26"/>
                    <w:ind w:firstLine="0" w:firstLineChars="0"/>
                    <w:rPr>
                      <w:szCs w:val="21"/>
                    </w:rPr>
                  </w:pPr>
                  <w:r>
                    <w:rPr>
                      <w:rFonts w:hint="eastAsia"/>
                      <w:szCs w:val="21"/>
                    </w:rPr>
                    <w:t>监测点位</w:t>
                  </w:r>
                </w:p>
              </w:tc>
              <w:tc>
                <w:tcPr>
                  <w:tcW w:w="2853" w:type="dxa"/>
                  <w:gridSpan w:val="8"/>
                  <w:vAlign w:val="center"/>
                </w:tcPr>
                <w:p>
                  <w:pPr>
                    <w:pStyle w:val="26"/>
                    <w:ind w:firstLine="0" w:firstLineChars="0"/>
                    <w:rPr>
                      <w:szCs w:val="21"/>
                    </w:rPr>
                  </w:pPr>
                  <w:r>
                    <w:rPr>
                      <w:rFonts w:hint="eastAsia"/>
                      <w:szCs w:val="21"/>
                    </w:rPr>
                    <w:t>/</w:t>
                  </w:r>
                </w:p>
              </w:tc>
              <w:tc>
                <w:tcPr>
                  <w:tcW w:w="2660" w:type="dxa"/>
                  <w:gridSpan w:val="5"/>
                  <w:vAlign w:val="center"/>
                </w:tcPr>
                <w:p>
                  <w:pPr>
                    <w:pStyle w:val="26"/>
                    <w:ind w:firstLine="0" w:firstLineChars="0"/>
                    <w:rPr>
                      <w:szCs w:val="21"/>
                    </w:rPr>
                  </w:pPr>
                  <w:r>
                    <w:rPr>
                      <w:rFonts w:hint="eastAsia"/>
                      <w:szCs w:val="21"/>
                    </w:rPr>
                    <w:t>排放口</w:t>
                  </w:r>
                  <w:r>
                    <w:rPr>
                      <w:rFonts w:hint="eastAsia"/>
                      <w:kern w:val="0"/>
                      <w:szCs w:val="21"/>
                      <w:lang w:val="en-US" w:eastAsia="zh-CN"/>
                    </w:rPr>
                    <w:t>W</w:t>
                  </w:r>
                  <w:r>
                    <w:rPr>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jc w:val="both"/>
                    <w:rPr>
                      <w:szCs w:val="21"/>
                    </w:rPr>
                  </w:pPr>
                </w:p>
              </w:tc>
              <w:tc>
                <w:tcPr>
                  <w:tcW w:w="1092" w:type="dxa"/>
                  <w:vMerge w:val="continue"/>
                  <w:vAlign w:val="center"/>
                </w:tcPr>
                <w:p>
                  <w:pPr>
                    <w:pStyle w:val="26"/>
                    <w:ind w:firstLine="0" w:firstLineChars="0"/>
                    <w:jc w:val="both"/>
                    <w:rPr>
                      <w:szCs w:val="21"/>
                    </w:rPr>
                  </w:pPr>
                </w:p>
              </w:tc>
              <w:tc>
                <w:tcPr>
                  <w:tcW w:w="1336" w:type="dxa"/>
                  <w:vAlign w:val="center"/>
                </w:tcPr>
                <w:p>
                  <w:pPr>
                    <w:pStyle w:val="26"/>
                    <w:ind w:firstLine="0" w:firstLineChars="0"/>
                    <w:rPr>
                      <w:szCs w:val="21"/>
                    </w:rPr>
                  </w:pPr>
                  <w:r>
                    <w:rPr>
                      <w:rFonts w:hint="eastAsia"/>
                      <w:szCs w:val="21"/>
                    </w:rPr>
                    <w:t>监测因子</w:t>
                  </w:r>
                </w:p>
              </w:tc>
              <w:tc>
                <w:tcPr>
                  <w:tcW w:w="2853" w:type="dxa"/>
                  <w:gridSpan w:val="8"/>
                  <w:vAlign w:val="center"/>
                </w:tcPr>
                <w:p>
                  <w:pPr>
                    <w:jc w:val="center"/>
                    <w:rPr>
                      <w:szCs w:val="21"/>
                    </w:rPr>
                  </w:pPr>
                  <w:r>
                    <w:rPr>
                      <w:rFonts w:hint="eastAsia"/>
                      <w:szCs w:val="21"/>
                    </w:rPr>
                    <w:t>/</w:t>
                  </w:r>
                </w:p>
              </w:tc>
              <w:tc>
                <w:tcPr>
                  <w:tcW w:w="2660" w:type="dxa"/>
                  <w:gridSpan w:val="5"/>
                  <w:vAlign w:val="center"/>
                </w:tcPr>
                <w:p>
                  <w:pPr>
                    <w:jc w:val="center"/>
                    <w:rPr>
                      <w:szCs w:val="21"/>
                    </w:rPr>
                  </w:pPr>
                  <w:r>
                    <w:rPr>
                      <w:rFonts w:hint="eastAsia"/>
                      <w:szCs w:val="21"/>
                    </w:rPr>
                    <w:t>COD</w:t>
                  </w:r>
                  <w:r>
                    <w:rPr>
                      <w:rFonts w:hint="eastAsia"/>
                      <w:szCs w:val="21"/>
                      <w:vertAlign w:val="subscript"/>
                    </w:rPr>
                    <w:t>Cr</w:t>
                  </w:r>
                  <w:r>
                    <w:rPr>
                      <w:rFonts w:hint="eastAsia"/>
                      <w:szCs w:val="21"/>
                    </w:rPr>
                    <w:t>、BOD</w:t>
                  </w:r>
                  <w:r>
                    <w:rPr>
                      <w:rFonts w:hint="eastAsia"/>
                      <w:szCs w:val="21"/>
                      <w:vertAlign w:val="subscript"/>
                    </w:rPr>
                    <w:t>5</w:t>
                  </w:r>
                  <w:r>
                    <w:rPr>
                      <w:rFonts w:hint="eastAsia"/>
                      <w:szCs w:val="21"/>
                    </w:rPr>
                    <w:t>、SS、氨氮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355" w:type="dxa"/>
                  <w:vMerge w:val="continue"/>
                  <w:vAlign w:val="center"/>
                </w:tcPr>
                <w:p>
                  <w:pPr>
                    <w:pStyle w:val="26"/>
                    <w:ind w:firstLine="0" w:firstLineChars="0"/>
                    <w:rPr>
                      <w:szCs w:val="21"/>
                    </w:rPr>
                  </w:pPr>
                </w:p>
              </w:tc>
              <w:tc>
                <w:tcPr>
                  <w:tcW w:w="1092" w:type="dxa"/>
                  <w:vAlign w:val="center"/>
                </w:tcPr>
                <w:p>
                  <w:pPr>
                    <w:pStyle w:val="26"/>
                    <w:ind w:firstLine="0" w:firstLineChars="0"/>
                    <w:rPr>
                      <w:szCs w:val="21"/>
                    </w:rPr>
                  </w:pPr>
                  <w:r>
                    <w:rPr>
                      <w:rFonts w:hint="eastAsia"/>
                      <w:szCs w:val="21"/>
                    </w:rPr>
                    <w:t>污染物</w:t>
                  </w:r>
                </w:p>
                <w:p>
                  <w:pPr>
                    <w:pStyle w:val="26"/>
                    <w:ind w:firstLine="0" w:firstLineChars="0"/>
                    <w:rPr>
                      <w:szCs w:val="21"/>
                    </w:rPr>
                  </w:pPr>
                  <w:r>
                    <w:rPr>
                      <w:rFonts w:hint="eastAsia"/>
                      <w:szCs w:val="21"/>
                    </w:rPr>
                    <w:t>排放清单</w:t>
                  </w:r>
                </w:p>
              </w:tc>
              <w:tc>
                <w:tcPr>
                  <w:tcW w:w="6849" w:type="dxa"/>
                  <w:gridSpan w:val="14"/>
                  <w:vAlign w:val="center"/>
                </w:tcPr>
                <w:p>
                  <w:pPr>
                    <w:pStyle w:val="26"/>
                    <w:ind w:firstLine="0" w:firstLineChars="0"/>
                    <w:jc w:val="both"/>
                    <w:rPr>
                      <w:szCs w:val="21"/>
                    </w:rPr>
                  </w:pPr>
                  <w:r>
                    <w:rPr>
                      <w:rFonts w:hint="eastAsia"/>
                      <w:szCs w:val="21"/>
                    </w:rPr>
                    <w:t>☑</w:t>
                  </w:r>
                </w:p>
              </w:tc>
            </w:tr>
          </w:tbl>
          <w:p>
            <w:pPr>
              <w:pStyle w:val="25"/>
              <w:spacing w:line="240" w:lineRule="auto"/>
              <w:ind w:firstLine="480" w:firstLineChars="200"/>
              <w:jc w:val="both"/>
              <w:rPr>
                <w:bCs/>
                <w:sz w:val="24"/>
              </w:rPr>
            </w:pPr>
            <w:r>
              <w:rPr>
                <w:rFonts w:hint="eastAsia"/>
                <w:bCs/>
                <w:sz w:val="24"/>
              </w:rPr>
              <w:t>b) 依托污水处理设施的环境可行性评价。</w:t>
            </w:r>
          </w:p>
          <w:p>
            <w:pPr>
              <w:pStyle w:val="27"/>
              <w:spacing w:line="240" w:lineRule="auto"/>
              <w:ind w:firstLine="480"/>
              <w:rPr>
                <w:sz w:val="24"/>
              </w:rPr>
            </w:pPr>
            <w:r>
              <w:rPr>
                <w:rFonts w:hint="eastAsia"/>
                <w:sz w:val="24"/>
              </w:rPr>
              <w:t>①市政污水管网</w:t>
            </w:r>
          </w:p>
          <w:p>
            <w:pPr>
              <w:pStyle w:val="27"/>
              <w:spacing w:line="360" w:lineRule="auto"/>
              <w:ind w:firstLine="480"/>
              <w:rPr>
                <w:sz w:val="24"/>
              </w:rPr>
            </w:pPr>
            <w:r>
              <w:rPr>
                <w:rFonts w:hint="eastAsia"/>
                <w:sz w:val="24"/>
              </w:rPr>
              <w:t>项目所在区域市政污水管网已建成，项目生活污水可排入污水管网，汇入龙归污水处理厂处理。</w:t>
            </w:r>
          </w:p>
          <w:p>
            <w:pPr>
              <w:pStyle w:val="27"/>
              <w:spacing w:line="360" w:lineRule="auto"/>
              <w:ind w:firstLine="480"/>
              <w:rPr>
                <w:sz w:val="24"/>
              </w:rPr>
            </w:pPr>
            <w:r>
              <w:rPr>
                <w:rFonts w:hint="eastAsia"/>
                <w:sz w:val="24"/>
              </w:rPr>
              <w:t>②依托污水处理设施情况</w:t>
            </w:r>
          </w:p>
          <w:p>
            <w:pPr>
              <w:pStyle w:val="27"/>
              <w:spacing w:line="360" w:lineRule="auto"/>
              <w:ind w:firstLine="480"/>
              <w:rPr>
                <w:sz w:val="24"/>
              </w:rPr>
            </w:pPr>
            <w:r>
              <w:rPr>
                <w:rFonts w:hint="eastAsia"/>
                <w:sz w:val="24"/>
              </w:rPr>
              <w:t>龙归污水处理厂采用改良A</w:t>
            </w:r>
            <w:r>
              <w:rPr>
                <w:rFonts w:hint="eastAsia"/>
                <w:sz w:val="24"/>
                <w:vertAlign w:val="superscript"/>
              </w:rPr>
              <w:t>2</w:t>
            </w:r>
            <w:r>
              <w:rPr>
                <w:rFonts w:hint="eastAsia"/>
                <w:sz w:val="24"/>
              </w:rPr>
              <w:t>/O工艺，日处理污水14万吨，设计进水水质为：COD</w:t>
            </w:r>
            <w:r>
              <w:rPr>
                <w:rFonts w:hint="eastAsia"/>
                <w:sz w:val="24"/>
                <w:vertAlign w:val="subscript"/>
              </w:rPr>
              <w:t>Cr</w:t>
            </w:r>
            <w:r>
              <w:rPr>
                <w:rFonts w:hint="eastAsia"/>
                <w:sz w:val="24"/>
              </w:rPr>
              <w:t>≤500mg/L，BOD</w:t>
            </w:r>
            <w:r>
              <w:rPr>
                <w:rFonts w:hint="eastAsia"/>
                <w:sz w:val="24"/>
                <w:vertAlign w:val="subscript"/>
              </w:rPr>
              <w:t>5</w:t>
            </w:r>
            <w:r>
              <w:rPr>
                <w:rFonts w:hint="eastAsia"/>
                <w:sz w:val="24"/>
              </w:rPr>
              <w:t xml:space="preserve">≤300mg/L，SS≤400mg/L，出水执行广东省《水污染物排放限值》（DB44/26-2001）第二时段一级标准（城镇污水处理厂）和《城镇污水处理厂污染物排放标准》（GB18918-2002）一级 </w:t>
            </w:r>
            <w:r>
              <w:rPr>
                <w:rFonts w:hint="eastAsia"/>
                <w:sz w:val="24"/>
                <w:lang w:val="en-US" w:eastAsia="zh-CN"/>
              </w:rPr>
              <w:t>A</w:t>
            </w:r>
            <w:r>
              <w:rPr>
                <w:rFonts w:hint="eastAsia"/>
                <w:sz w:val="24"/>
              </w:rPr>
              <w:t xml:space="preserve"> 标准中较严者，最终汇入</w:t>
            </w:r>
            <w:r>
              <w:rPr>
                <w:rFonts w:hint="eastAsia"/>
                <w:sz w:val="24"/>
                <w:lang w:val="en-US" w:eastAsia="zh-CN"/>
              </w:rPr>
              <w:t>石井</w:t>
            </w:r>
            <w:r>
              <w:rPr>
                <w:rFonts w:hint="eastAsia"/>
                <w:sz w:val="24"/>
              </w:rPr>
              <w:t>河。</w:t>
            </w:r>
          </w:p>
          <w:p>
            <w:pPr>
              <w:pStyle w:val="21"/>
              <w:ind w:firstLine="480" w:firstLineChars="200"/>
              <w:rPr>
                <w:bCs/>
              </w:rPr>
            </w:pPr>
            <w:r>
              <w:rPr>
                <w:rFonts w:hint="eastAsia"/>
              </w:rPr>
              <w:t>本项目外排的污水主要为生活污水，具有典型的城市污水特征，污水中的主要污染物为 COD</w:t>
            </w:r>
            <w:r>
              <w:rPr>
                <w:rFonts w:hint="eastAsia"/>
                <w:vertAlign w:val="subscript"/>
              </w:rPr>
              <w:t>Cr</w:t>
            </w:r>
            <w:r>
              <w:rPr>
                <w:rFonts w:hint="eastAsia"/>
              </w:rPr>
              <w:t>、BOD</w:t>
            </w:r>
            <w:r>
              <w:rPr>
                <w:rFonts w:hint="eastAsia"/>
                <w:vertAlign w:val="subscript"/>
              </w:rPr>
              <w:t>5</w:t>
            </w:r>
            <w:r>
              <w:rPr>
                <w:rFonts w:hint="eastAsia"/>
              </w:rPr>
              <w:t>、SS、氨氮等，项目生活污水进入三级化粪池处理，出水达到广东省地方标准《水污染物排放限值》（GB44/26-2001）第二时段三级标准，由总排水口排入市政污水管网，外排的废水污染物浓度分别为 COD</w:t>
            </w:r>
            <w:r>
              <w:rPr>
                <w:rFonts w:hint="eastAsia"/>
                <w:vertAlign w:val="subscript"/>
              </w:rPr>
              <w:t>Cr</w:t>
            </w:r>
            <w:r>
              <w:rPr>
                <w:rFonts w:hint="eastAsia"/>
              </w:rPr>
              <w:t>：250mg/L、BOD</w:t>
            </w:r>
            <w:r>
              <w:rPr>
                <w:rFonts w:hint="eastAsia"/>
                <w:vertAlign w:val="subscript"/>
              </w:rPr>
              <w:t>5</w:t>
            </w:r>
            <w:r>
              <w:rPr>
                <w:rFonts w:hint="eastAsia"/>
              </w:rPr>
              <w:t>：150mg/L、SS：100mg/L、NH</w:t>
            </w:r>
            <w:r>
              <w:rPr>
                <w:rFonts w:hint="eastAsia"/>
                <w:vertAlign w:val="subscript"/>
              </w:rPr>
              <w:t>3</w:t>
            </w:r>
            <w:r>
              <w:rPr>
                <w:rFonts w:hint="eastAsia"/>
              </w:rPr>
              <w:t>-N：20mg/L，满足龙归污水处理厂的进水设计浓度，本项目生活污水的外排量为0.9t/d，约占龙归污水处理厂日处理污水能力的0.21%。从进水水质和日处理污水能力方面分析，本项目排放的废水纳入龙归污水处理厂集中处理是可行的。</w:t>
            </w:r>
          </w:p>
          <w:p>
            <w:pPr>
              <w:pStyle w:val="21"/>
              <w:ind w:firstLine="482" w:firstLineChars="200"/>
              <w:rPr>
                <w:b/>
                <w:szCs w:val="22"/>
              </w:rPr>
            </w:pPr>
            <w:r>
              <w:rPr>
                <w:b/>
                <w:szCs w:val="22"/>
              </w:rPr>
              <w:t>2</w:t>
            </w:r>
            <w:r>
              <w:rPr>
                <w:rFonts w:hint="eastAsia"/>
                <w:b/>
                <w:szCs w:val="22"/>
              </w:rPr>
              <w:t>、大气环境影响分析</w:t>
            </w:r>
          </w:p>
          <w:p>
            <w:pPr>
              <w:spacing w:line="360" w:lineRule="auto"/>
              <w:ind w:firstLine="480" w:firstLineChars="200"/>
              <w:jc w:val="left"/>
              <w:rPr>
                <w:sz w:val="24"/>
                <w:lang w:val="zh-CN"/>
              </w:rPr>
            </w:pPr>
            <w:r>
              <w:rPr>
                <w:sz w:val="24"/>
              </w:rPr>
              <w:t>本项目运营期产生的废气主要为喷粉粉尘、燃烧废气和</w:t>
            </w:r>
            <w:r>
              <w:rPr>
                <w:rFonts w:hint="eastAsia"/>
                <w:sz w:val="24"/>
                <w:lang w:val="en-US" w:eastAsia="zh-CN"/>
              </w:rPr>
              <w:t>固化</w:t>
            </w:r>
            <w:r>
              <w:rPr>
                <w:sz w:val="24"/>
              </w:rPr>
              <w:t>废气。</w:t>
            </w:r>
          </w:p>
          <w:p>
            <w:pPr>
              <w:pStyle w:val="8"/>
              <w:snapToGrid/>
              <w:ind w:firstLine="480" w:firstLineChars="0"/>
              <w:rPr>
                <w:b/>
                <w:sz w:val="24"/>
                <w:lang w:val="zh-CN"/>
              </w:rPr>
            </w:pPr>
            <w:r>
              <w:rPr>
                <w:rFonts w:hint="eastAsia"/>
                <w:b/>
                <w:sz w:val="24"/>
                <w:lang w:val="zh-CN"/>
              </w:rPr>
              <w:t>（1）粉尘</w:t>
            </w:r>
          </w:p>
          <w:p>
            <w:pPr>
              <w:tabs>
                <w:tab w:val="left" w:pos="0"/>
              </w:tabs>
              <w:snapToGrid w:val="0"/>
              <w:spacing w:line="360" w:lineRule="auto"/>
              <w:ind w:firstLine="480" w:firstLineChars="200"/>
              <w:rPr>
                <w:rFonts w:hint="eastAsia"/>
                <w:sz w:val="24"/>
                <w:lang w:val="zh-CN"/>
              </w:rPr>
            </w:pPr>
            <w:r>
              <w:rPr>
                <w:rFonts w:hint="eastAsia"/>
                <w:sz w:val="24"/>
                <w:lang w:val="zh-CN"/>
              </w:rPr>
              <w:t>项目设置4 个喷</w:t>
            </w:r>
            <w:r>
              <w:rPr>
                <w:rFonts w:hint="eastAsia"/>
                <w:sz w:val="24"/>
                <w:lang w:val="en-US" w:eastAsia="zh-CN"/>
              </w:rPr>
              <w:t>粉箱</w:t>
            </w:r>
            <w:r>
              <w:rPr>
                <w:rFonts w:hint="eastAsia"/>
                <w:sz w:val="24"/>
                <w:lang w:val="zh-CN"/>
              </w:rPr>
              <w:t>进行静电喷粉工序，使用涂料为环氧树脂粉末，喷涂效率为</w:t>
            </w:r>
            <w:r>
              <w:rPr>
                <w:rFonts w:hint="eastAsia"/>
                <w:sz w:val="24"/>
                <w:lang w:val="en-US" w:eastAsia="zh-CN"/>
              </w:rPr>
              <w:t>85</w:t>
            </w:r>
            <w:r>
              <w:rPr>
                <w:rFonts w:hint="eastAsia"/>
                <w:sz w:val="24"/>
                <w:lang w:val="zh-CN"/>
              </w:rPr>
              <w:t>%。项目产生的喷涂粉尘采用“高密度滤芯过滤+脉冲反吹清灰”系统，</w:t>
            </w:r>
            <w:r>
              <w:rPr>
                <w:rFonts w:hint="eastAsia"/>
                <w:sz w:val="24"/>
                <w:lang w:val="en-US" w:eastAsia="zh-CN"/>
              </w:rPr>
              <w:t>全厂</w:t>
            </w:r>
            <w:r>
              <w:rPr>
                <w:rFonts w:hint="eastAsia"/>
                <w:sz w:val="24"/>
                <w:lang w:val="zh-CN"/>
              </w:rPr>
              <w:t>设置1 套粉尘“高密度滤芯过滤+脉冲反吹清灰”系统，设计处理风量为</w:t>
            </w:r>
            <w:r>
              <w:rPr>
                <w:rFonts w:hint="eastAsia"/>
                <w:sz w:val="24"/>
                <w:lang w:val="en-US" w:eastAsia="zh-CN"/>
              </w:rPr>
              <w:t>25</w:t>
            </w:r>
            <w:r>
              <w:rPr>
                <w:rFonts w:hint="eastAsia"/>
                <w:sz w:val="24"/>
                <w:lang w:val="zh-CN"/>
              </w:rPr>
              <w:t>000m</w:t>
            </w:r>
            <w:r>
              <w:rPr>
                <w:rFonts w:hint="eastAsia"/>
                <w:sz w:val="24"/>
                <w:vertAlign w:val="superscript"/>
                <w:lang w:val="zh-CN"/>
              </w:rPr>
              <w:t>3</w:t>
            </w:r>
            <w:r>
              <w:rPr>
                <w:rFonts w:hint="eastAsia"/>
                <w:sz w:val="24"/>
                <w:lang w:val="zh-CN"/>
              </w:rPr>
              <w:t>/h。喷粉粉尘处理工艺流程如图7-</w:t>
            </w:r>
            <w:r>
              <w:rPr>
                <w:rFonts w:hint="eastAsia"/>
                <w:sz w:val="24"/>
                <w:lang w:val="en-US" w:eastAsia="zh-CN"/>
              </w:rPr>
              <w:t>1</w:t>
            </w:r>
            <w:r>
              <w:rPr>
                <w:rFonts w:hint="eastAsia"/>
                <w:sz w:val="24"/>
                <w:lang w:val="zh-CN"/>
              </w:rPr>
              <w:t>所示。</w:t>
            </w:r>
          </w:p>
          <w:p>
            <w:pPr>
              <w:tabs>
                <w:tab w:val="left" w:pos="0"/>
              </w:tabs>
              <w:snapToGrid w:val="0"/>
              <w:spacing w:line="360" w:lineRule="auto"/>
              <w:ind w:firstLine="480" w:firstLineChars="200"/>
              <w:rPr>
                <w:rFonts w:hint="default" w:eastAsia="宋体"/>
                <w:sz w:val="24"/>
                <w:lang w:val="en-US" w:eastAsia="zh-CN"/>
              </w:rPr>
            </w:pPr>
            <w:r>
              <w:rPr>
                <w:rFonts w:hint="eastAsia"/>
                <w:sz w:val="24"/>
                <w:lang w:val="en-US" w:eastAsia="zh-CN"/>
              </w:rPr>
              <w:t>喷粉粉尘→</w:t>
            </w:r>
            <w:r>
              <w:rPr>
                <w:rFonts w:hint="eastAsia"/>
                <w:sz w:val="24"/>
                <w:bdr w:val="single" w:sz="4" w:space="0"/>
                <w:lang w:val="zh-CN"/>
              </w:rPr>
              <w:t>高密度滤芯过滤+脉冲反吹清灰</w:t>
            </w:r>
            <w:r>
              <w:rPr>
                <w:rFonts w:hint="eastAsia"/>
                <w:sz w:val="24"/>
                <w:lang w:val="en-US" w:eastAsia="zh-CN"/>
              </w:rPr>
              <w:t>→</w:t>
            </w:r>
            <w:r>
              <w:rPr>
                <w:rFonts w:hint="eastAsia"/>
                <w:sz w:val="24"/>
                <w:bdr w:val="single" w:sz="4" w:space="0"/>
                <w:lang w:val="en-US" w:eastAsia="zh-CN"/>
              </w:rPr>
              <w:t>离心风机</w:t>
            </w:r>
            <w:r>
              <w:rPr>
                <w:rFonts w:hint="eastAsia"/>
                <w:sz w:val="24"/>
                <w:lang w:val="en-US" w:eastAsia="zh-CN"/>
              </w:rPr>
              <w:t>→15m高排气筒</w:t>
            </w:r>
          </w:p>
          <w:p>
            <w:pPr>
              <w:tabs>
                <w:tab w:val="left" w:pos="0"/>
              </w:tabs>
              <w:snapToGrid w:val="0"/>
              <w:spacing w:line="360" w:lineRule="auto"/>
              <w:jc w:val="center"/>
              <w:rPr>
                <w:rFonts w:hint="eastAsia"/>
                <w:b/>
                <w:bCs/>
                <w:sz w:val="24"/>
                <w:lang w:val="zh-CN"/>
              </w:rPr>
            </w:pPr>
            <w:r>
              <w:rPr>
                <w:rFonts w:hint="eastAsia"/>
                <w:b/>
                <w:bCs/>
                <w:sz w:val="24"/>
                <w:lang w:val="zh-CN"/>
              </w:rPr>
              <w:t>图7-</w:t>
            </w:r>
            <w:r>
              <w:rPr>
                <w:rFonts w:hint="eastAsia"/>
                <w:b/>
                <w:bCs/>
                <w:sz w:val="24"/>
                <w:lang w:val="en-US" w:eastAsia="zh-CN"/>
              </w:rPr>
              <w:t>1</w:t>
            </w:r>
            <w:r>
              <w:rPr>
                <w:rFonts w:hint="eastAsia"/>
                <w:b/>
                <w:bCs/>
                <w:sz w:val="24"/>
                <w:lang w:val="zh-CN"/>
              </w:rPr>
              <w:t xml:space="preserve"> 喷粉粉尘处理工艺</w:t>
            </w:r>
          </w:p>
          <w:p>
            <w:pPr>
              <w:keepNext w:val="0"/>
              <w:keepLines w:val="0"/>
              <w:pageBreakBefore w:val="0"/>
              <w:widowControl w:val="0"/>
              <w:tabs>
                <w:tab w:val="left" w:pos="0"/>
              </w:tabs>
              <w:kinsoku/>
              <w:wordWrap/>
              <w:overflowPunct/>
              <w:topLinePunct w:val="0"/>
              <w:autoSpaceDE/>
              <w:autoSpaceDN/>
              <w:bidi w:val="0"/>
              <w:adjustRightInd/>
              <w:snapToGrid w:val="0"/>
              <w:spacing w:before="157" w:beforeLines="50" w:line="360" w:lineRule="auto"/>
              <w:ind w:firstLine="482" w:firstLineChars="200"/>
              <w:jc w:val="left"/>
              <w:textAlignment w:val="auto"/>
              <w:rPr>
                <w:rFonts w:hint="eastAsia"/>
                <w:b/>
                <w:bCs/>
                <w:sz w:val="24"/>
                <w:lang w:val="zh-CN"/>
              </w:rPr>
            </w:pPr>
            <w:r>
              <w:rPr>
                <w:rFonts w:hint="eastAsia"/>
                <w:b/>
                <w:bCs/>
                <w:sz w:val="24"/>
                <w:lang w:val="zh-CN"/>
              </w:rPr>
              <w:t>工艺流程简述：</w:t>
            </w:r>
          </w:p>
          <w:p>
            <w:pPr>
              <w:keepNext w:val="0"/>
              <w:keepLines w:val="0"/>
              <w:pageBreakBefore w:val="0"/>
              <w:widowControl w:val="0"/>
              <w:tabs>
                <w:tab w:val="left" w:pos="0"/>
              </w:tabs>
              <w:kinsoku/>
              <w:wordWrap/>
              <w:overflowPunct/>
              <w:topLinePunct w:val="0"/>
              <w:autoSpaceDE/>
              <w:autoSpaceDN/>
              <w:bidi w:val="0"/>
              <w:adjustRightInd/>
              <w:snapToGrid w:val="0"/>
              <w:spacing w:line="360" w:lineRule="auto"/>
              <w:ind w:firstLine="480" w:firstLineChars="200"/>
              <w:jc w:val="left"/>
              <w:textAlignment w:val="auto"/>
              <w:rPr>
                <w:rFonts w:hint="eastAsia"/>
                <w:b w:val="0"/>
                <w:bCs w:val="0"/>
                <w:sz w:val="24"/>
                <w:lang w:val="zh-CN"/>
              </w:rPr>
            </w:pPr>
            <w:r>
              <w:rPr>
                <w:rFonts w:hint="eastAsia"/>
                <w:b w:val="0"/>
                <w:bCs w:val="0"/>
                <w:sz w:val="24"/>
                <w:lang w:val="zh-CN"/>
              </w:rPr>
              <w:t>粉尘除尘系统的设计处理风量为</w:t>
            </w:r>
            <w:r>
              <w:rPr>
                <w:rFonts w:hint="eastAsia"/>
                <w:sz w:val="24"/>
                <w:lang w:val="en-US" w:eastAsia="zh-CN"/>
              </w:rPr>
              <w:t>25</w:t>
            </w:r>
            <w:r>
              <w:rPr>
                <w:rFonts w:hint="eastAsia"/>
                <w:sz w:val="24"/>
                <w:lang w:val="zh-CN"/>
              </w:rPr>
              <w:t>000m</w:t>
            </w:r>
            <w:r>
              <w:rPr>
                <w:rFonts w:hint="eastAsia"/>
                <w:sz w:val="24"/>
                <w:vertAlign w:val="superscript"/>
                <w:lang w:val="zh-CN"/>
              </w:rPr>
              <w:t>3</w:t>
            </w:r>
            <w:r>
              <w:rPr>
                <w:rFonts w:hint="eastAsia"/>
                <w:sz w:val="24"/>
                <w:lang w:val="zh-CN"/>
              </w:rPr>
              <w:t>/h</w:t>
            </w:r>
            <w:r>
              <w:rPr>
                <w:rFonts w:hint="eastAsia"/>
                <w:b w:val="0"/>
                <w:bCs w:val="0"/>
                <w:sz w:val="24"/>
                <w:lang w:val="zh-CN"/>
              </w:rPr>
              <w:t>，项目4个喷粉</w:t>
            </w:r>
            <w:r>
              <w:rPr>
                <w:rFonts w:hint="eastAsia"/>
                <w:sz w:val="24"/>
                <w:lang w:val="en-US" w:eastAsia="zh-CN"/>
              </w:rPr>
              <w:t>箱</w:t>
            </w:r>
            <w:r>
              <w:rPr>
                <w:rFonts w:hint="eastAsia"/>
                <w:b w:val="0"/>
                <w:bCs w:val="0"/>
                <w:sz w:val="24"/>
                <w:lang w:val="zh-CN"/>
              </w:rPr>
              <w:t>产生的喷粉废气经除尘系统收集处理后，最终经15m高排气筒排放。而滤芯每隔3min振动一次，被滤芯吸附的粉末抖落收集</w:t>
            </w:r>
            <w:r>
              <w:rPr>
                <w:rFonts w:hint="eastAsia"/>
                <w:b w:val="0"/>
                <w:bCs w:val="0"/>
                <w:sz w:val="24"/>
                <w:lang w:val="en-US" w:eastAsia="zh-CN"/>
              </w:rPr>
              <w:t>后回用于生产</w:t>
            </w:r>
            <w:r>
              <w:rPr>
                <w:rFonts w:hint="eastAsia"/>
                <w:b w:val="0"/>
                <w:bCs w:val="0"/>
                <w:sz w:val="24"/>
                <w:lang w:val="zh-CN"/>
              </w:rPr>
              <w:t>。</w:t>
            </w:r>
          </w:p>
          <w:p>
            <w:pPr>
              <w:keepNext w:val="0"/>
              <w:keepLines w:val="0"/>
              <w:pageBreakBefore w:val="0"/>
              <w:widowControl w:val="0"/>
              <w:tabs>
                <w:tab w:val="left" w:pos="0"/>
              </w:tabs>
              <w:kinsoku/>
              <w:wordWrap/>
              <w:overflowPunct/>
              <w:topLinePunct w:val="0"/>
              <w:autoSpaceDE/>
              <w:autoSpaceDN/>
              <w:bidi w:val="0"/>
              <w:adjustRightInd/>
              <w:snapToGrid w:val="0"/>
              <w:spacing w:line="360" w:lineRule="auto"/>
              <w:ind w:firstLine="482" w:firstLineChars="200"/>
              <w:jc w:val="left"/>
              <w:textAlignment w:val="auto"/>
              <w:rPr>
                <w:rFonts w:hint="eastAsia"/>
                <w:b/>
                <w:bCs/>
                <w:sz w:val="24"/>
                <w:lang w:val="zh-CN"/>
              </w:rPr>
            </w:pPr>
            <w:r>
              <w:rPr>
                <w:rFonts w:hint="eastAsia"/>
                <w:b/>
                <w:bCs/>
                <w:sz w:val="24"/>
                <w:lang w:val="zh-CN"/>
              </w:rPr>
              <w:t>滤芯脉冲反吹回收装置工作原理说明：</w:t>
            </w:r>
          </w:p>
          <w:p>
            <w:pPr>
              <w:keepNext w:val="0"/>
              <w:keepLines w:val="0"/>
              <w:pageBreakBefore w:val="0"/>
              <w:widowControl w:val="0"/>
              <w:tabs>
                <w:tab w:val="left" w:pos="0"/>
              </w:tabs>
              <w:kinsoku/>
              <w:wordWrap/>
              <w:overflowPunct/>
              <w:topLinePunct w:val="0"/>
              <w:autoSpaceDE/>
              <w:autoSpaceDN/>
              <w:bidi w:val="0"/>
              <w:adjustRightInd/>
              <w:snapToGrid w:val="0"/>
              <w:spacing w:line="360" w:lineRule="auto"/>
              <w:ind w:firstLine="480" w:firstLineChars="200"/>
              <w:jc w:val="left"/>
              <w:textAlignment w:val="auto"/>
              <w:rPr>
                <w:rFonts w:hint="eastAsia"/>
                <w:b w:val="0"/>
                <w:bCs w:val="0"/>
                <w:sz w:val="24"/>
                <w:lang w:val="zh-CN"/>
              </w:rPr>
            </w:pPr>
            <w:r>
              <w:rPr>
                <w:rFonts w:hint="eastAsia"/>
                <w:b w:val="0"/>
                <w:bCs w:val="0"/>
                <w:sz w:val="24"/>
                <w:lang w:val="zh-CN"/>
              </w:rPr>
              <w:t xml:space="preserve">滤芯脉冲反吹回收装置是一种周期性地向滤芯内喷压缩空气达到清除滤芯上积尘的滤芯式除尘装置。其除尘机理是：含尘废气从滤芯外进入滤芯内，尘粒被阻隔在滤芯外表上，滤芯内的气体得到净化，净化后的气体经过滤芯上端的喇叭形的文氏管进入回收箱的上箱体后从排气管排出。在每个滤芯上部均装有一根喷吹管，管上有小孔与文氏管口对应，喷吹管前端装有与压缩空气相连的脉冲阀，由脉冲控制器发出短促的脉冲信号，通过脉冲控制器按程序触发每个脉冲阀。当脉冲阀开启后与它相连的喷吹管和压缩空气相通，高压空气从喷吹孔以极高的气速吹出，引射诱导几倍于喷气量的空气进入文氏管，吹到滤芯内使滤芯急剧膨胀，引起冲击振动，刹那间产生一股由内向外的气体，使粘附在滤芯外表的粉尘落下来进入下部的集灰斗经过滤后由粉泵输送至粉桶。 </w:t>
            </w:r>
          </w:p>
          <w:p>
            <w:pPr>
              <w:keepNext w:val="0"/>
              <w:keepLines w:val="0"/>
              <w:pageBreakBefore w:val="0"/>
              <w:widowControl w:val="0"/>
              <w:tabs>
                <w:tab w:val="left" w:pos="0"/>
              </w:tabs>
              <w:kinsoku/>
              <w:wordWrap/>
              <w:overflowPunct/>
              <w:topLinePunct w:val="0"/>
              <w:autoSpaceDE/>
              <w:autoSpaceDN/>
              <w:bidi w:val="0"/>
              <w:adjustRightInd/>
              <w:snapToGrid w:val="0"/>
              <w:spacing w:line="360" w:lineRule="auto"/>
              <w:ind w:firstLine="480" w:firstLineChars="200"/>
              <w:jc w:val="left"/>
              <w:textAlignment w:val="auto"/>
              <w:rPr>
                <w:rFonts w:hint="eastAsia"/>
                <w:b w:val="0"/>
                <w:bCs w:val="0"/>
                <w:sz w:val="24"/>
                <w:lang w:val="zh-CN"/>
              </w:rPr>
            </w:pPr>
            <w:r>
              <w:rPr>
                <w:rFonts w:hint="eastAsia"/>
                <w:b w:val="0"/>
                <w:bCs w:val="0"/>
                <w:sz w:val="24"/>
                <w:lang w:val="zh-CN"/>
              </w:rPr>
              <w:t>根据工程分析章节可知，喷粉箱内的喷粉废气收集效率可达98%，仅有2%的粉尘在检修等过程中因开闭门而溢出，由于粉尘颗粒粒径较大，大部分在车间内沉降，本评价对溢出粉尘按10%的逸散率进行计算；项目“高密度滤芯过滤+脉冲反吹清灰”除尘系统对喷粉粉尘的处理效率可达95%以上。项目溢出的无组织粉尘排放量约为0.012t/a；项目有组织粉尘排放总量约为0.29</w:t>
            </w:r>
            <w:r>
              <w:rPr>
                <w:rFonts w:hint="eastAsia"/>
                <w:b w:val="0"/>
                <w:bCs w:val="0"/>
                <w:sz w:val="24"/>
                <w:lang w:val="en-US" w:eastAsia="zh-CN"/>
              </w:rPr>
              <w:t>4</w:t>
            </w:r>
            <w:r>
              <w:rPr>
                <w:rFonts w:hint="eastAsia"/>
                <w:b w:val="0"/>
                <w:bCs w:val="0"/>
                <w:sz w:val="24"/>
                <w:lang w:val="zh-CN"/>
              </w:rPr>
              <w:t>t/a（0.12kg/h，</w:t>
            </w:r>
            <w:r>
              <w:rPr>
                <w:rFonts w:hint="eastAsia"/>
                <w:b w:val="0"/>
                <w:bCs w:val="0"/>
                <w:sz w:val="24"/>
                <w:lang w:val="en-US" w:eastAsia="zh-CN"/>
              </w:rPr>
              <w:t>4.9</w:t>
            </w:r>
            <w:r>
              <w:rPr>
                <w:rFonts w:hint="eastAsia"/>
                <w:b w:val="0"/>
                <w:bCs w:val="0"/>
                <w:sz w:val="24"/>
                <w:lang w:val="zh-CN"/>
              </w:rPr>
              <w:t>mg/m</w:t>
            </w:r>
            <w:r>
              <w:rPr>
                <w:rFonts w:hint="eastAsia"/>
                <w:b w:val="0"/>
                <w:bCs w:val="0"/>
                <w:sz w:val="24"/>
                <w:vertAlign w:val="superscript"/>
                <w:lang w:val="zh-CN"/>
              </w:rPr>
              <w:t>3</w:t>
            </w:r>
            <w:r>
              <w:rPr>
                <w:rFonts w:hint="eastAsia"/>
                <w:b w:val="0"/>
                <w:bCs w:val="0"/>
                <w:sz w:val="24"/>
                <w:lang w:val="zh-CN"/>
              </w:rPr>
              <w:t>）。</w:t>
            </w:r>
          </w:p>
          <w:p>
            <w:pPr>
              <w:keepNext w:val="0"/>
              <w:keepLines w:val="0"/>
              <w:pageBreakBefore w:val="0"/>
              <w:widowControl w:val="0"/>
              <w:tabs>
                <w:tab w:val="left" w:pos="0"/>
              </w:tabs>
              <w:kinsoku/>
              <w:wordWrap/>
              <w:overflowPunct/>
              <w:topLinePunct w:val="0"/>
              <w:autoSpaceDE/>
              <w:autoSpaceDN/>
              <w:bidi w:val="0"/>
              <w:adjustRightInd/>
              <w:snapToGrid w:val="0"/>
              <w:spacing w:line="360" w:lineRule="auto"/>
              <w:ind w:firstLine="480" w:firstLineChars="200"/>
              <w:jc w:val="left"/>
              <w:textAlignment w:val="auto"/>
              <w:rPr>
                <w:rFonts w:hint="eastAsia"/>
                <w:b/>
                <w:bCs/>
                <w:sz w:val="24"/>
                <w:lang w:val="zh-CN"/>
              </w:rPr>
            </w:pPr>
            <w:r>
              <w:rPr>
                <w:rFonts w:hint="eastAsia"/>
                <w:b w:val="0"/>
                <w:bCs w:val="0"/>
                <w:sz w:val="24"/>
                <w:lang w:val="zh-CN"/>
              </w:rPr>
              <w:t>经上述处理设施处理后，项目喷粉粉尘排放浓度和排放速率可满足广东省《大气污染物排放限值》（DB 44/27-2001）第二时段二级排放标准（颗粒物排放浓度≤120mg/m</w:t>
            </w:r>
            <w:r>
              <w:rPr>
                <w:rFonts w:hint="eastAsia"/>
                <w:b w:val="0"/>
                <w:bCs w:val="0"/>
                <w:sz w:val="24"/>
                <w:vertAlign w:val="superscript"/>
                <w:lang w:val="zh-CN"/>
              </w:rPr>
              <w:t>3</w:t>
            </w:r>
            <w:r>
              <w:rPr>
                <w:rFonts w:hint="eastAsia"/>
                <w:b w:val="0"/>
                <w:bCs w:val="0"/>
                <w:sz w:val="24"/>
                <w:lang w:val="zh-CN"/>
              </w:rPr>
              <w:t>，排放速率≤2.9kg/h）。</w:t>
            </w:r>
          </w:p>
          <w:p>
            <w:pPr>
              <w:tabs>
                <w:tab w:val="left" w:pos="0"/>
              </w:tabs>
              <w:snapToGrid w:val="0"/>
              <w:spacing w:line="360" w:lineRule="auto"/>
              <w:ind w:firstLine="482" w:firstLineChars="200"/>
              <w:rPr>
                <w:b/>
                <w:sz w:val="24"/>
                <w:lang w:val="zh-CN"/>
              </w:rPr>
            </w:pPr>
            <w:r>
              <w:rPr>
                <w:rFonts w:hint="eastAsia"/>
                <w:b/>
                <w:sz w:val="24"/>
              </w:rPr>
              <w:t>（2）</w:t>
            </w:r>
            <w:r>
              <w:rPr>
                <w:rFonts w:hint="eastAsia"/>
                <w:b/>
                <w:sz w:val="24"/>
                <w:lang w:val="en-US" w:eastAsia="zh-CN"/>
              </w:rPr>
              <w:t>固化</w:t>
            </w:r>
            <w:r>
              <w:rPr>
                <w:rFonts w:hint="eastAsia"/>
                <w:b/>
                <w:sz w:val="24"/>
                <w:lang w:val="zh-CN"/>
              </w:rPr>
              <w:t>废气</w:t>
            </w:r>
          </w:p>
          <w:p>
            <w:pPr>
              <w:spacing w:line="360" w:lineRule="auto"/>
              <w:ind w:firstLine="480" w:firstLineChars="200"/>
              <w:rPr>
                <w:rFonts w:hint="eastAsia"/>
                <w:sz w:val="24"/>
              </w:rPr>
            </w:pPr>
            <w:r>
              <w:rPr>
                <w:rFonts w:hint="eastAsia"/>
                <w:sz w:val="24"/>
              </w:rPr>
              <w:t>本项目喷粉后的金属在固化时，其表面附着的热固性粉末涂料会挥发出少量有机废气，主要为原料分解出的单体，以VOCs来进行评价。本项目VOCs产生量为0.</w:t>
            </w:r>
            <w:r>
              <w:rPr>
                <w:rFonts w:hint="eastAsia"/>
                <w:sz w:val="24"/>
                <w:lang w:val="en-US" w:eastAsia="zh-CN"/>
              </w:rPr>
              <w:t>12</w:t>
            </w:r>
            <w:r>
              <w:rPr>
                <w:rFonts w:hint="eastAsia"/>
                <w:sz w:val="24"/>
              </w:rPr>
              <w:t>t/a，产生的有机废气采用“水喷淋+UV光解净化器+活性炭吸附装置“处理后，经15m排气筒外排。固化产生的VOCs在固化线出入口上方经过集气罩收集，收集率为90%，处理效率为90%，处理风量为</w:t>
            </w:r>
            <w:r>
              <w:rPr>
                <w:rFonts w:hint="eastAsia"/>
                <w:sz w:val="24"/>
                <w:lang w:val="en-US" w:eastAsia="zh-CN"/>
              </w:rPr>
              <w:t>150</w:t>
            </w:r>
            <w:r>
              <w:rPr>
                <w:rFonts w:hint="eastAsia"/>
                <w:sz w:val="24"/>
              </w:rPr>
              <w:t>00m</w:t>
            </w:r>
            <w:r>
              <w:rPr>
                <w:rFonts w:hint="eastAsia"/>
                <w:sz w:val="24"/>
                <w:vertAlign w:val="superscript"/>
              </w:rPr>
              <w:t>3</w:t>
            </w:r>
            <w:r>
              <w:rPr>
                <w:rFonts w:hint="eastAsia"/>
                <w:sz w:val="24"/>
              </w:rPr>
              <w:t>/h。</w:t>
            </w:r>
          </w:p>
          <w:p>
            <w:pPr>
              <w:spacing w:line="360" w:lineRule="auto"/>
              <w:ind w:firstLine="480" w:firstLineChars="200"/>
              <w:rPr>
                <w:rFonts w:hint="eastAsia"/>
                <w:sz w:val="24"/>
              </w:rPr>
            </w:pPr>
            <w:r>
              <w:rPr>
                <w:rFonts w:hint="eastAsia"/>
                <w:sz w:val="24"/>
              </w:rPr>
              <w:t>处理工艺流程：</w:t>
            </w:r>
          </w:p>
          <w:p>
            <w:pPr>
              <w:spacing w:line="360" w:lineRule="auto"/>
              <w:ind w:firstLine="480" w:firstLineChars="200"/>
              <w:rPr>
                <w:rFonts w:hint="eastAsia"/>
                <w:sz w:val="24"/>
              </w:rPr>
            </w:pPr>
            <w:r>
              <w:rPr>
                <w:rFonts w:hint="eastAsia"/>
                <w:sz w:val="24"/>
              </w:rPr>
              <w:t>废气→水喷淋→UV光解→活性炭吸附→风机→排气筒15m→达标排放</w:t>
            </w:r>
          </w:p>
          <w:p>
            <w:pPr>
              <w:spacing w:line="360" w:lineRule="auto"/>
              <w:ind w:firstLine="480" w:firstLineChars="200"/>
              <w:rPr>
                <w:rFonts w:hint="eastAsia"/>
                <w:sz w:val="24"/>
              </w:rPr>
            </w:pPr>
            <w:r>
              <w:rPr>
                <w:rFonts w:hint="eastAsia"/>
                <w:sz w:val="24"/>
              </w:rPr>
              <w:t>废气处理设施工艺流程简述：废气处理设备工作时，废气经离心引风机产生的负压收集，在离心风机的作用下，收集到的废气进入“水喷淋塔”降温，废气降温后进入干式除雾器干燥，然后进入“UV光解净化器”，有机废气在“UV 光解净化器”内在紫外线的照射下将废气中有害的污染成分分解成无毒无味的CO</w:t>
            </w:r>
            <w:r>
              <w:rPr>
                <w:rFonts w:hint="eastAsia"/>
                <w:sz w:val="24"/>
                <w:vertAlign w:val="subscript"/>
              </w:rPr>
              <w:t>2</w:t>
            </w:r>
            <w:r>
              <w:rPr>
                <w:rFonts w:hint="eastAsia"/>
                <w:sz w:val="24"/>
              </w:rPr>
              <w:t>和H</w:t>
            </w:r>
            <w:r>
              <w:rPr>
                <w:rFonts w:hint="eastAsia"/>
                <w:sz w:val="24"/>
                <w:vertAlign w:val="subscript"/>
              </w:rPr>
              <w:t>2</w:t>
            </w:r>
            <w:r>
              <w:rPr>
                <w:rFonts w:hint="eastAsia"/>
                <w:sz w:val="24"/>
              </w:rPr>
              <w:t>O后，部分没被分解到的有机废气，再进入“活性炭吸附箱”，经吸附后干净气体经风机引至15m 高排气筒高空排放到大气中，UV光解净化法对有机废气的处理效率按50%计，活性炭对有机废气的处理效率按80%计，则综合治理效率为1-（1-50%）×（1-80%）=90%。</w:t>
            </w:r>
          </w:p>
          <w:p>
            <w:pPr>
              <w:spacing w:line="360" w:lineRule="auto"/>
              <w:ind w:firstLine="480" w:firstLineChars="200"/>
              <w:rPr>
                <w:rFonts w:hint="eastAsia"/>
                <w:sz w:val="24"/>
              </w:rPr>
            </w:pPr>
            <w:r>
              <w:rPr>
                <w:rFonts w:hint="eastAsia"/>
                <w:sz w:val="24"/>
              </w:rPr>
              <w:t>UV 光解净化器：利用特制的高能高臭氧UV 紫外线光束照射恶臭气体，裂解VOC类的分子键，使呈游离状态的污染物分子与臭氧氧化结合成小分子无害或低害的化合物，如CO</w:t>
            </w:r>
            <w:r>
              <w:rPr>
                <w:rFonts w:hint="eastAsia"/>
                <w:sz w:val="24"/>
                <w:vertAlign w:val="subscript"/>
              </w:rPr>
              <w:t>2</w:t>
            </w:r>
            <w:r>
              <w:rPr>
                <w:rFonts w:hint="eastAsia"/>
                <w:sz w:val="24"/>
              </w:rPr>
              <w:t>、H</w:t>
            </w:r>
            <w:r>
              <w:rPr>
                <w:rFonts w:hint="eastAsia"/>
                <w:sz w:val="24"/>
                <w:vertAlign w:val="subscript"/>
              </w:rPr>
              <w:t>2</w:t>
            </w:r>
            <w:r>
              <w:rPr>
                <w:rFonts w:hint="eastAsia"/>
                <w:sz w:val="24"/>
              </w:rPr>
              <w:t>O等。并发生后续的各种反应以达到分解污染物的目的。</w:t>
            </w:r>
          </w:p>
          <w:p>
            <w:pPr>
              <w:spacing w:line="360" w:lineRule="auto"/>
              <w:ind w:firstLine="480" w:firstLineChars="200"/>
              <w:rPr>
                <w:rFonts w:hint="eastAsia"/>
                <w:sz w:val="24"/>
              </w:rPr>
            </w:pPr>
            <w:r>
              <w:rPr>
                <w:rFonts w:hint="eastAsia"/>
                <w:sz w:val="24"/>
              </w:rPr>
              <w:t>活性炭吸附装置工作原理：当废气由风机提供动力，负压进入吸附箱后进入活性炭吸附层，由于活性炭吸附剂表面上存在着未平衡和未饱和的分子引力或化学键力，因此当活性炭吸附剂的表面与气体接触时，就能吸引气体分子，使其浓聚并保持在活性炭表面，此现象称为吸附。利用活性炭吸附剂表面的吸附能力，使废气与大表面的多孔性活性炭吸附剂相接触，废气中的污染物被吸附在活性炭表面上，使其与气体混合物分离，净化后的气体高空排放。</w:t>
            </w:r>
          </w:p>
          <w:p>
            <w:pPr>
              <w:spacing w:line="360" w:lineRule="auto"/>
              <w:ind w:firstLine="480" w:firstLineChars="200"/>
            </w:pPr>
            <w:r>
              <w:rPr>
                <w:rFonts w:hint="eastAsia"/>
                <w:sz w:val="24"/>
              </w:rPr>
              <w:t>经上述措施处理，项目有机废气排放满足广东省《家具制造行业挥发性有机化合物排放标准》（DB44/814-2010）第Ⅱ时段限值，不会对周围大气环境造成明显不良影响。</w:t>
            </w:r>
          </w:p>
          <w:p>
            <w:pPr>
              <w:autoSpaceDE w:val="0"/>
              <w:autoSpaceDN w:val="0"/>
              <w:adjustRightInd w:val="0"/>
              <w:snapToGrid w:val="0"/>
              <w:spacing w:line="360" w:lineRule="auto"/>
              <w:ind w:firstLine="482" w:firstLineChars="200"/>
              <w:rPr>
                <w:b/>
                <w:bCs/>
                <w:kern w:val="0"/>
                <w:sz w:val="24"/>
              </w:rPr>
            </w:pPr>
            <w:r>
              <w:rPr>
                <w:b/>
                <w:bCs/>
                <w:kern w:val="0"/>
                <w:sz w:val="24"/>
              </w:rPr>
              <w:t>（3）燃烧废气</w:t>
            </w:r>
          </w:p>
          <w:p>
            <w:pPr>
              <w:spacing w:line="360" w:lineRule="auto"/>
              <w:ind w:firstLine="480"/>
              <w:rPr>
                <w:sz w:val="24"/>
              </w:rPr>
            </w:pPr>
            <w:r>
              <w:rPr>
                <w:rFonts w:hint="eastAsia"/>
                <w:sz w:val="24"/>
              </w:rPr>
              <w:t>本项目固化线及箱式热风炉由天然气燃烧供热，天然气属清洁能源，产生的废气较少，收集后通过15m高排气筒排放，烟尘、SO</w:t>
            </w:r>
            <w:r>
              <w:rPr>
                <w:rFonts w:hint="eastAsia"/>
                <w:sz w:val="24"/>
                <w:vertAlign w:val="subscript"/>
              </w:rPr>
              <w:t>2</w:t>
            </w:r>
            <w:r>
              <w:rPr>
                <w:rFonts w:hint="eastAsia"/>
                <w:sz w:val="24"/>
              </w:rPr>
              <w:t>、NO</w:t>
            </w:r>
            <w:r>
              <w:rPr>
                <w:rFonts w:hint="eastAsia"/>
                <w:sz w:val="24"/>
                <w:vertAlign w:val="subscript"/>
              </w:rPr>
              <w:t>X</w:t>
            </w:r>
            <w:r>
              <w:rPr>
                <w:rFonts w:hint="eastAsia"/>
                <w:sz w:val="24"/>
              </w:rPr>
              <w:t>可达到广东省《锅炉大气污染物排放标准》（DB44/765-2019）中表2新建锅炉大气污染物排放浓度限值，对大气环境影响较小。</w:t>
            </w:r>
          </w:p>
          <w:p>
            <w:pPr>
              <w:spacing w:line="360" w:lineRule="auto"/>
              <w:ind w:firstLine="480"/>
              <w:rPr>
                <w:b/>
                <w:sz w:val="24"/>
              </w:rPr>
            </w:pPr>
            <w:r>
              <w:rPr>
                <w:rFonts w:hint="eastAsia"/>
                <w:b/>
                <w:sz w:val="24"/>
              </w:rPr>
              <w:t>（4）评价工作等级和评价范围</w:t>
            </w:r>
          </w:p>
          <w:p>
            <w:pPr>
              <w:spacing w:line="360" w:lineRule="auto"/>
              <w:ind w:firstLine="480"/>
              <w:rPr>
                <w:sz w:val="24"/>
              </w:rPr>
            </w:pPr>
            <w:r>
              <w:rPr>
                <w:sz w:val="24"/>
              </w:rPr>
              <w:t>根据《建设项目环境影响评价技术导则 总纲》（HJ2.1-2016）、《环境影响评价技术导则-大气环境》（HJ2.2-2018）中有关环评工作等级划分规则，确定本项目评价等级。</w:t>
            </w:r>
          </w:p>
          <w:p>
            <w:pPr>
              <w:widowControl/>
              <w:spacing w:line="360" w:lineRule="auto"/>
              <w:ind w:firstLine="482"/>
              <w:rPr>
                <w:b/>
                <w:bCs/>
                <w:sz w:val="24"/>
              </w:rPr>
            </w:pPr>
            <w:r>
              <w:rPr>
                <w:rFonts w:hint="eastAsia" w:ascii="宋体" w:hAnsi="宋体" w:cs="宋体"/>
                <w:b/>
                <w:bCs/>
                <w:sz w:val="24"/>
              </w:rPr>
              <w:t>①</w:t>
            </w:r>
            <w:r>
              <w:rPr>
                <w:b/>
                <w:bCs/>
                <w:sz w:val="24"/>
              </w:rPr>
              <w:t>确定依据</w:t>
            </w:r>
          </w:p>
          <w:p>
            <w:pPr>
              <w:spacing w:line="360" w:lineRule="auto"/>
              <w:ind w:firstLine="480" w:firstLineChars="200"/>
              <w:rPr>
                <w:sz w:val="24"/>
              </w:rPr>
            </w:pPr>
            <w:r>
              <w:rPr>
                <w:sz w:val="24"/>
              </w:rPr>
              <w:t>本项目排放的主要大气污染物为颗粒物</w:t>
            </w:r>
            <w:r>
              <w:rPr>
                <w:rFonts w:hint="eastAsia"/>
                <w:sz w:val="24"/>
              </w:rPr>
              <w:t>、VOCs和</w:t>
            </w:r>
            <w:r>
              <w:rPr>
                <w:kern w:val="0"/>
                <w:sz w:val="24"/>
              </w:rPr>
              <w:t>SO</w:t>
            </w:r>
            <w:r>
              <w:rPr>
                <w:kern w:val="0"/>
                <w:sz w:val="24"/>
                <w:vertAlign w:val="subscript"/>
              </w:rPr>
              <w:t>2</w:t>
            </w:r>
            <w:r>
              <w:rPr>
                <w:kern w:val="0"/>
                <w:sz w:val="24"/>
              </w:rPr>
              <w:t>、NO</w:t>
            </w:r>
            <w:r>
              <w:rPr>
                <w:kern w:val="0"/>
                <w:sz w:val="24"/>
                <w:vertAlign w:val="subscript"/>
              </w:rPr>
              <w:t>X</w:t>
            </w:r>
            <w:r>
              <w:rPr>
                <w:sz w:val="24"/>
              </w:rPr>
              <w:t>，根据《环境影响评价技术导则-大气环境》（HJ2.2-2018）中“5.3评价等级判定”，结合项目工程分析结果，选择项目污染源正常排放的主要污染物及排放参数，采用附录A推荐模型中的AERSCREEN估算模型计算项目污染源的最大环境影响，然后按评价工作分级判据进行分级。</w:t>
            </w:r>
          </w:p>
          <w:p>
            <w:pPr>
              <w:spacing w:line="360" w:lineRule="auto"/>
              <w:ind w:firstLine="480"/>
              <w:rPr>
                <w:sz w:val="24"/>
              </w:rPr>
            </w:pPr>
            <w:r>
              <w:rPr>
                <w:sz w:val="24"/>
              </w:rPr>
              <w:t>项目排放主要污染物的最大地面空气质量浓度占标率P</w:t>
            </w:r>
            <w:r>
              <w:rPr>
                <w:sz w:val="24"/>
                <w:vertAlign w:val="subscript"/>
              </w:rPr>
              <w:t>i</w:t>
            </w:r>
            <w:r>
              <w:rPr>
                <w:sz w:val="24"/>
              </w:rPr>
              <w:t>定义公式为：</w:t>
            </w:r>
          </w:p>
          <w:p>
            <w:pPr>
              <w:spacing w:line="360" w:lineRule="auto"/>
              <w:ind w:firstLine="480"/>
              <w:jc w:val="center"/>
              <w:rPr>
                <w:sz w:val="24"/>
              </w:rPr>
            </w:pPr>
            <w:r>
              <w:rPr>
                <w:position w:val="-30"/>
                <w:sz w:val="24"/>
              </w:rPr>
              <w:object>
                <v:shape id="_x0000_i1025" o:spt="75" type="#_x0000_t75" style="height:32.75pt;width:75.75pt;" o:ole="t" filled="f" o:preferrelative="t" stroked="f" coordsize="21600,21600">
                  <v:path/>
                  <v:fill on="f" focussize="0,0"/>
                  <v:stroke on="f" joinstyle="miter"/>
                  <v:imagedata r:id="rId11" o:title=""/>
                  <o:lock v:ext="edit" aspectratio="t"/>
                  <w10:wrap type="none"/>
                  <w10:anchorlock/>
                </v:shape>
                <o:OLEObject Type="Embed" ProgID="Equations" ShapeID="_x0000_i1025" DrawAspect="Content" ObjectID="_1468075725" r:id="rId10">
                  <o:LockedField>false</o:LockedField>
                </o:OLEObject>
              </w:object>
            </w:r>
          </w:p>
          <w:p>
            <w:pPr>
              <w:spacing w:line="360" w:lineRule="auto"/>
              <w:ind w:firstLine="480"/>
              <w:rPr>
                <w:sz w:val="24"/>
              </w:rPr>
            </w:pPr>
            <w:r>
              <w:rPr>
                <w:sz w:val="24"/>
              </w:rPr>
              <w:t>式中：P</w:t>
            </w:r>
            <w:r>
              <w:rPr>
                <w:sz w:val="24"/>
                <w:vertAlign w:val="subscript"/>
              </w:rPr>
              <w:t>i</w:t>
            </w:r>
            <w:r>
              <w:rPr>
                <w:sz w:val="24"/>
              </w:rPr>
              <w:t>—第i个污染物的最大地面空气质量浓度占标率，%；</w:t>
            </w:r>
          </w:p>
          <w:p>
            <w:pPr>
              <w:spacing w:line="360" w:lineRule="auto"/>
              <w:ind w:firstLine="720" w:firstLineChars="300"/>
              <w:rPr>
                <w:sz w:val="24"/>
              </w:rPr>
            </w:pPr>
            <w:r>
              <w:rPr>
                <w:sz w:val="24"/>
              </w:rPr>
              <w:t>C</w:t>
            </w:r>
            <w:r>
              <w:rPr>
                <w:sz w:val="24"/>
                <w:vertAlign w:val="subscript"/>
              </w:rPr>
              <w:t>i</w:t>
            </w:r>
            <w:r>
              <w:rPr>
                <w:sz w:val="24"/>
              </w:rPr>
              <w:t>—采用估算模式计算出的第i个污染物的最大1h地面空气质量浓度，μg/m</w:t>
            </w:r>
            <w:r>
              <w:rPr>
                <w:sz w:val="24"/>
                <w:vertAlign w:val="superscript"/>
              </w:rPr>
              <w:t>3</w:t>
            </w:r>
            <w:r>
              <w:rPr>
                <w:sz w:val="24"/>
              </w:rPr>
              <w:t>；</w:t>
            </w:r>
          </w:p>
          <w:p>
            <w:pPr>
              <w:spacing w:line="360" w:lineRule="auto"/>
              <w:ind w:firstLine="720" w:firstLineChars="300"/>
              <w:rPr>
                <w:sz w:val="24"/>
              </w:rPr>
            </w:pPr>
            <w:r>
              <w:rPr>
                <w:sz w:val="24"/>
              </w:rPr>
              <w:t>C</w:t>
            </w:r>
            <w:r>
              <w:rPr>
                <w:sz w:val="24"/>
                <w:vertAlign w:val="subscript"/>
              </w:rPr>
              <w:t>0i</w:t>
            </w:r>
            <w:r>
              <w:rPr>
                <w:sz w:val="24"/>
              </w:rPr>
              <w:t>—第i个污染物的环境空气质量标准，μg/m</w:t>
            </w:r>
            <w:r>
              <w:rPr>
                <w:sz w:val="24"/>
                <w:vertAlign w:val="superscript"/>
              </w:rPr>
              <w:t>3</w:t>
            </w:r>
            <w:r>
              <w:rPr>
                <w:sz w:val="24"/>
              </w:rPr>
              <w:t>。一般选用GB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pPr>
              <w:spacing w:line="360" w:lineRule="auto"/>
              <w:ind w:firstLine="720" w:firstLineChars="300"/>
              <w:rPr>
                <w:b/>
                <w:bCs/>
                <w:sz w:val="24"/>
              </w:rPr>
            </w:pPr>
            <w:r>
              <w:rPr>
                <w:sz w:val="24"/>
              </w:rPr>
              <w:t>评价工作等级判定依据见表</w:t>
            </w:r>
            <w:r>
              <w:rPr>
                <w:rFonts w:hint="eastAsia"/>
                <w:sz w:val="24"/>
              </w:rPr>
              <w:t>7-7</w:t>
            </w:r>
            <w:r>
              <w:rPr>
                <w:sz w:val="24"/>
              </w:rPr>
              <w:t>。</w:t>
            </w:r>
          </w:p>
          <w:p>
            <w:pPr>
              <w:widowControl/>
              <w:spacing w:line="360" w:lineRule="auto"/>
              <w:jc w:val="center"/>
              <w:rPr>
                <w:b/>
                <w:bCs/>
                <w:szCs w:val="21"/>
              </w:rPr>
            </w:pPr>
            <w:r>
              <w:rPr>
                <w:b/>
                <w:bCs/>
                <w:szCs w:val="21"/>
              </w:rPr>
              <w:t>表</w:t>
            </w:r>
            <w:r>
              <w:rPr>
                <w:rFonts w:hint="eastAsia"/>
                <w:b/>
                <w:bCs/>
                <w:szCs w:val="21"/>
              </w:rPr>
              <w:t xml:space="preserve">7-7 </w:t>
            </w:r>
            <w:r>
              <w:rPr>
                <w:b/>
                <w:bCs/>
                <w:szCs w:val="21"/>
              </w:rPr>
              <w:t xml:space="preserve"> 大气评价工作等级划分</w:t>
            </w:r>
          </w:p>
          <w:tbl>
            <w:tblPr>
              <w:tblStyle w:val="15"/>
              <w:tblW w:w="830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1"/>
              <w:gridCol w:w="53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atLeast"/>
                <w:jc w:val="center"/>
              </w:trPr>
              <w:tc>
                <w:tcPr>
                  <w:tcW w:w="2971" w:type="dxa"/>
                  <w:tcBorders>
                    <w:tl2br w:val="nil"/>
                    <w:tr2bl w:val="nil"/>
                  </w:tcBorders>
                </w:tcPr>
                <w:p>
                  <w:pPr>
                    <w:widowControl/>
                    <w:autoSpaceDE w:val="0"/>
                    <w:autoSpaceDN w:val="0"/>
                    <w:adjustRightInd w:val="0"/>
                    <w:jc w:val="center"/>
                    <w:textAlignment w:val="baseline"/>
                    <w:rPr>
                      <w:b/>
                      <w:bCs/>
                      <w:szCs w:val="21"/>
                    </w:rPr>
                  </w:pPr>
                  <w:r>
                    <w:rPr>
                      <w:b/>
                      <w:bCs/>
                      <w:szCs w:val="21"/>
                    </w:rPr>
                    <w:t>评价工作等级</w:t>
                  </w:r>
                </w:p>
              </w:tc>
              <w:tc>
                <w:tcPr>
                  <w:tcW w:w="5335" w:type="dxa"/>
                  <w:tcBorders>
                    <w:tl2br w:val="nil"/>
                    <w:tr2bl w:val="nil"/>
                  </w:tcBorders>
                </w:tcPr>
                <w:p>
                  <w:pPr>
                    <w:widowControl/>
                    <w:autoSpaceDE w:val="0"/>
                    <w:autoSpaceDN w:val="0"/>
                    <w:adjustRightInd w:val="0"/>
                    <w:jc w:val="center"/>
                    <w:textAlignment w:val="baseline"/>
                    <w:rPr>
                      <w:b/>
                      <w:bCs/>
                      <w:szCs w:val="21"/>
                    </w:rPr>
                  </w:pPr>
                  <w:r>
                    <w:rPr>
                      <w:b/>
                      <w:bCs/>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atLeast"/>
                <w:jc w:val="center"/>
              </w:trPr>
              <w:tc>
                <w:tcPr>
                  <w:tcW w:w="2971" w:type="dxa"/>
                  <w:tcBorders>
                    <w:tl2br w:val="nil"/>
                    <w:tr2bl w:val="nil"/>
                  </w:tcBorders>
                </w:tcPr>
                <w:p>
                  <w:pPr>
                    <w:widowControl/>
                    <w:autoSpaceDE w:val="0"/>
                    <w:autoSpaceDN w:val="0"/>
                    <w:adjustRightInd w:val="0"/>
                    <w:jc w:val="center"/>
                    <w:textAlignment w:val="baseline"/>
                    <w:rPr>
                      <w:szCs w:val="21"/>
                    </w:rPr>
                  </w:pPr>
                  <w:r>
                    <w:rPr>
                      <w:szCs w:val="21"/>
                    </w:rPr>
                    <w:t>一级</w:t>
                  </w:r>
                </w:p>
              </w:tc>
              <w:tc>
                <w:tcPr>
                  <w:tcW w:w="5335" w:type="dxa"/>
                  <w:tcBorders>
                    <w:tl2br w:val="nil"/>
                    <w:tr2bl w:val="nil"/>
                  </w:tcBorders>
                </w:tcPr>
                <w:p>
                  <w:pPr>
                    <w:widowControl/>
                    <w:autoSpaceDE w:val="0"/>
                    <w:autoSpaceDN w:val="0"/>
                    <w:adjustRightInd w:val="0"/>
                    <w:jc w:val="center"/>
                    <w:textAlignment w:val="baseline"/>
                    <w:rPr>
                      <w:szCs w:val="21"/>
                    </w:rPr>
                  </w:pPr>
                  <w:r>
                    <w:rPr>
                      <w:szCs w:val="21"/>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atLeast"/>
                <w:jc w:val="center"/>
              </w:trPr>
              <w:tc>
                <w:tcPr>
                  <w:tcW w:w="2971" w:type="dxa"/>
                  <w:tcBorders>
                    <w:tl2br w:val="nil"/>
                    <w:tr2bl w:val="nil"/>
                  </w:tcBorders>
                </w:tcPr>
                <w:p>
                  <w:pPr>
                    <w:widowControl/>
                    <w:autoSpaceDE w:val="0"/>
                    <w:autoSpaceDN w:val="0"/>
                    <w:adjustRightInd w:val="0"/>
                    <w:jc w:val="center"/>
                    <w:textAlignment w:val="baseline"/>
                    <w:rPr>
                      <w:szCs w:val="21"/>
                    </w:rPr>
                  </w:pPr>
                  <w:r>
                    <w:rPr>
                      <w:szCs w:val="21"/>
                    </w:rPr>
                    <w:t>二级</w:t>
                  </w:r>
                </w:p>
              </w:tc>
              <w:tc>
                <w:tcPr>
                  <w:tcW w:w="5335" w:type="dxa"/>
                  <w:tcBorders>
                    <w:tl2br w:val="nil"/>
                    <w:tr2bl w:val="nil"/>
                  </w:tcBorders>
                </w:tcPr>
                <w:p>
                  <w:pPr>
                    <w:widowControl/>
                    <w:autoSpaceDE w:val="0"/>
                    <w:autoSpaceDN w:val="0"/>
                    <w:adjustRightInd w:val="0"/>
                    <w:jc w:val="center"/>
                    <w:textAlignment w:val="baseline"/>
                    <w:rPr>
                      <w:szCs w:val="21"/>
                    </w:rPr>
                  </w:pPr>
                  <w:r>
                    <w:rPr>
                      <w:szCs w:val="21"/>
                    </w:rPr>
                    <w:t>1%≤Pmax＜10%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atLeast"/>
                <w:jc w:val="center"/>
              </w:trPr>
              <w:tc>
                <w:tcPr>
                  <w:tcW w:w="2971" w:type="dxa"/>
                  <w:tcBorders>
                    <w:tl2br w:val="nil"/>
                    <w:tr2bl w:val="nil"/>
                  </w:tcBorders>
                </w:tcPr>
                <w:p>
                  <w:pPr>
                    <w:widowControl/>
                    <w:autoSpaceDE w:val="0"/>
                    <w:autoSpaceDN w:val="0"/>
                    <w:adjustRightInd w:val="0"/>
                    <w:jc w:val="center"/>
                    <w:textAlignment w:val="baseline"/>
                    <w:rPr>
                      <w:szCs w:val="21"/>
                    </w:rPr>
                  </w:pPr>
                  <w:r>
                    <w:rPr>
                      <w:szCs w:val="21"/>
                    </w:rPr>
                    <w:t>三级</w:t>
                  </w:r>
                </w:p>
              </w:tc>
              <w:tc>
                <w:tcPr>
                  <w:tcW w:w="5335" w:type="dxa"/>
                  <w:tcBorders>
                    <w:tl2br w:val="nil"/>
                    <w:tr2bl w:val="nil"/>
                  </w:tcBorders>
                </w:tcPr>
                <w:p>
                  <w:pPr>
                    <w:widowControl/>
                    <w:autoSpaceDE w:val="0"/>
                    <w:autoSpaceDN w:val="0"/>
                    <w:adjustRightInd w:val="0"/>
                    <w:jc w:val="center"/>
                    <w:textAlignment w:val="baseline"/>
                    <w:rPr>
                      <w:szCs w:val="21"/>
                    </w:rPr>
                  </w:pPr>
                  <w:r>
                    <w:rPr>
                      <w:szCs w:val="21"/>
                    </w:rPr>
                    <w:t>Pmax＜1%</w:t>
                  </w:r>
                </w:p>
              </w:tc>
            </w:tr>
          </w:tbl>
          <w:p>
            <w:pPr>
              <w:spacing w:line="300" w:lineRule="auto"/>
              <w:ind w:firstLine="480" w:firstLineChars="200"/>
              <w:rPr>
                <w:bCs/>
                <w:sz w:val="24"/>
              </w:rPr>
            </w:pPr>
            <w:r>
              <w:rPr>
                <w:bCs/>
                <w:sz w:val="24"/>
              </w:rPr>
              <w:t>项目评价因子和评价标准详见表</w:t>
            </w:r>
            <w:r>
              <w:rPr>
                <w:rFonts w:hint="eastAsia"/>
                <w:bCs/>
                <w:sz w:val="24"/>
              </w:rPr>
              <w:t>7-8</w:t>
            </w:r>
            <w:r>
              <w:rPr>
                <w:bCs/>
                <w:sz w:val="24"/>
              </w:rPr>
              <w:t>。</w:t>
            </w:r>
          </w:p>
          <w:p>
            <w:pPr>
              <w:pStyle w:val="28"/>
              <w:spacing w:line="360" w:lineRule="auto"/>
              <w:rPr>
                <w:bCs/>
                <w:szCs w:val="24"/>
              </w:rPr>
            </w:pPr>
            <w:r>
              <w:rPr>
                <w:b/>
                <w:szCs w:val="24"/>
              </w:rPr>
              <w:t>表</w:t>
            </w:r>
            <w:r>
              <w:rPr>
                <w:rFonts w:hint="eastAsia"/>
                <w:b/>
                <w:szCs w:val="24"/>
              </w:rPr>
              <w:t>7-8</w:t>
            </w:r>
            <w:r>
              <w:rPr>
                <w:rFonts w:hint="eastAsia"/>
                <w:b/>
                <w:szCs w:val="24"/>
                <w:lang w:val="en-US" w:eastAsia="zh-CN"/>
              </w:rPr>
              <w:t xml:space="preserve">  </w:t>
            </w:r>
            <w:r>
              <w:rPr>
                <w:b/>
                <w:szCs w:val="24"/>
              </w:rPr>
              <w:t>评价因子和评价标准表</w:t>
            </w:r>
          </w:p>
          <w:tbl>
            <w:tblPr>
              <w:tblStyle w:val="15"/>
              <w:tblW w:w="8296" w:type="dxa"/>
              <w:jc w:val="center"/>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1339"/>
              <w:gridCol w:w="2325"/>
              <w:gridCol w:w="1995"/>
              <w:gridCol w:w="2637"/>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339" w:type="dxa"/>
                  <w:vAlign w:val="center"/>
                </w:tcPr>
                <w:p>
                  <w:pPr>
                    <w:pStyle w:val="29"/>
                    <w:rPr>
                      <w:bCs/>
                      <w:color w:val="FF0000"/>
                      <w:sz w:val="21"/>
                      <w:szCs w:val="21"/>
                    </w:rPr>
                  </w:pPr>
                  <w:r>
                    <w:rPr>
                      <w:bCs/>
                      <w:color w:val="FF0000"/>
                      <w:sz w:val="21"/>
                      <w:szCs w:val="21"/>
                    </w:rPr>
                    <w:t>评价因子</w:t>
                  </w:r>
                </w:p>
              </w:tc>
              <w:tc>
                <w:tcPr>
                  <w:tcW w:w="2325" w:type="dxa"/>
                  <w:vAlign w:val="center"/>
                </w:tcPr>
                <w:p>
                  <w:pPr>
                    <w:pStyle w:val="29"/>
                    <w:rPr>
                      <w:bCs/>
                      <w:color w:val="FF0000"/>
                      <w:sz w:val="21"/>
                      <w:szCs w:val="21"/>
                    </w:rPr>
                  </w:pPr>
                  <w:r>
                    <w:rPr>
                      <w:bCs/>
                      <w:color w:val="FF0000"/>
                      <w:sz w:val="21"/>
                      <w:szCs w:val="21"/>
                    </w:rPr>
                    <w:t>平均时段</w:t>
                  </w:r>
                </w:p>
              </w:tc>
              <w:tc>
                <w:tcPr>
                  <w:tcW w:w="1995" w:type="dxa"/>
                  <w:vAlign w:val="center"/>
                </w:tcPr>
                <w:p>
                  <w:pPr>
                    <w:pStyle w:val="29"/>
                    <w:rPr>
                      <w:bCs/>
                      <w:color w:val="FF0000"/>
                      <w:sz w:val="21"/>
                      <w:szCs w:val="21"/>
                    </w:rPr>
                  </w:pPr>
                  <w:r>
                    <w:rPr>
                      <w:bCs/>
                      <w:color w:val="FF0000"/>
                      <w:sz w:val="21"/>
                      <w:szCs w:val="21"/>
                    </w:rPr>
                    <w:t>标准值（ug/m</w:t>
                  </w:r>
                  <w:r>
                    <w:rPr>
                      <w:bCs/>
                      <w:color w:val="FF0000"/>
                      <w:sz w:val="21"/>
                      <w:szCs w:val="21"/>
                      <w:vertAlign w:val="superscript"/>
                    </w:rPr>
                    <w:t>3</w:t>
                  </w:r>
                  <w:r>
                    <w:rPr>
                      <w:bCs/>
                      <w:color w:val="FF0000"/>
                      <w:sz w:val="21"/>
                      <w:szCs w:val="21"/>
                    </w:rPr>
                    <w:t>）</w:t>
                  </w:r>
                </w:p>
              </w:tc>
              <w:tc>
                <w:tcPr>
                  <w:tcW w:w="2637" w:type="dxa"/>
                  <w:vAlign w:val="center"/>
                </w:tcPr>
                <w:p>
                  <w:pPr>
                    <w:pStyle w:val="29"/>
                    <w:rPr>
                      <w:bCs/>
                      <w:color w:val="FF0000"/>
                      <w:sz w:val="21"/>
                      <w:szCs w:val="21"/>
                    </w:rPr>
                  </w:pPr>
                  <w:r>
                    <w:rPr>
                      <w:bCs/>
                      <w:color w:val="FF0000"/>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Ex>
              <w:trPr>
                <w:trHeight w:val="670" w:hRule="atLeast"/>
                <w:jc w:val="center"/>
              </w:trPr>
              <w:tc>
                <w:tcPr>
                  <w:tcW w:w="1339" w:type="dxa"/>
                  <w:vAlign w:val="center"/>
                </w:tcPr>
                <w:p>
                  <w:pPr>
                    <w:pStyle w:val="29"/>
                    <w:rPr>
                      <w:bCs/>
                      <w:color w:val="FF0000"/>
                      <w:sz w:val="21"/>
                      <w:szCs w:val="21"/>
                    </w:rPr>
                  </w:pPr>
                  <w:r>
                    <w:rPr>
                      <w:rFonts w:hint="eastAsia"/>
                      <w:bCs/>
                      <w:color w:val="FF0000"/>
                      <w:sz w:val="21"/>
                      <w:szCs w:val="21"/>
                    </w:rPr>
                    <w:t>TSP</w:t>
                  </w:r>
                </w:p>
              </w:tc>
              <w:tc>
                <w:tcPr>
                  <w:tcW w:w="2325" w:type="dxa"/>
                  <w:vAlign w:val="center"/>
                </w:tcPr>
                <w:p>
                  <w:pPr>
                    <w:pStyle w:val="29"/>
                    <w:rPr>
                      <w:bCs/>
                      <w:color w:val="FF0000"/>
                      <w:sz w:val="21"/>
                      <w:szCs w:val="21"/>
                    </w:rPr>
                  </w:pPr>
                  <w:r>
                    <w:rPr>
                      <w:rFonts w:hint="eastAsia"/>
                      <w:bCs/>
                      <w:color w:val="FF0000"/>
                      <w:sz w:val="21"/>
                      <w:szCs w:val="21"/>
                    </w:rPr>
                    <w:t>1小时</w:t>
                  </w:r>
                  <w:r>
                    <w:rPr>
                      <w:bCs/>
                      <w:color w:val="FF0000"/>
                      <w:sz w:val="21"/>
                      <w:szCs w:val="21"/>
                    </w:rPr>
                    <w:t>平均值</w:t>
                  </w:r>
                </w:p>
                <w:p>
                  <w:pPr>
                    <w:pStyle w:val="29"/>
                    <w:rPr>
                      <w:bCs/>
                      <w:color w:val="FF0000"/>
                      <w:sz w:val="21"/>
                      <w:szCs w:val="21"/>
                    </w:rPr>
                  </w:pPr>
                  <w:r>
                    <w:rPr>
                      <w:bCs/>
                      <w:color w:val="FF0000"/>
                      <w:sz w:val="21"/>
                      <w:szCs w:val="21"/>
                    </w:rPr>
                    <w:t>（</w:t>
                  </w:r>
                  <w:r>
                    <w:rPr>
                      <w:rFonts w:hint="eastAsia"/>
                      <w:bCs/>
                      <w:color w:val="FF0000"/>
                      <w:sz w:val="21"/>
                      <w:szCs w:val="21"/>
                    </w:rPr>
                    <w:t>3</w:t>
                  </w:r>
                  <w:r>
                    <w:rPr>
                      <w:bCs/>
                      <w:color w:val="FF0000"/>
                      <w:sz w:val="21"/>
                      <w:szCs w:val="21"/>
                    </w:rPr>
                    <w:t>倍折算）</w:t>
                  </w:r>
                </w:p>
              </w:tc>
              <w:tc>
                <w:tcPr>
                  <w:tcW w:w="1995" w:type="dxa"/>
                  <w:tcBorders/>
                  <w:vAlign w:val="center"/>
                </w:tcPr>
                <w:p>
                  <w:pPr>
                    <w:pStyle w:val="29"/>
                    <w:rPr>
                      <w:bCs/>
                      <w:color w:val="FF0000"/>
                      <w:sz w:val="21"/>
                      <w:szCs w:val="21"/>
                    </w:rPr>
                  </w:pPr>
                  <w:r>
                    <w:rPr>
                      <w:rFonts w:hint="eastAsia"/>
                      <w:bCs/>
                      <w:color w:val="FF0000"/>
                      <w:sz w:val="21"/>
                      <w:szCs w:val="21"/>
                    </w:rPr>
                    <w:t>900</w:t>
                  </w:r>
                </w:p>
              </w:tc>
              <w:tc>
                <w:tcPr>
                  <w:tcW w:w="2637" w:type="dxa"/>
                  <w:vMerge w:val="restart"/>
                  <w:vAlign w:val="center"/>
                </w:tcPr>
                <w:p>
                  <w:pPr>
                    <w:pStyle w:val="29"/>
                    <w:rPr>
                      <w:bCs/>
                      <w:color w:val="FF0000"/>
                      <w:sz w:val="21"/>
                      <w:szCs w:val="21"/>
                    </w:rPr>
                  </w:pPr>
                  <w:r>
                    <w:rPr>
                      <w:bCs/>
                      <w:color w:val="FF0000"/>
                      <w:sz w:val="21"/>
                      <w:szCs w:val="21"/>
                    </w:rPr>
                    <w:t>《环境空气质量标准》（GB3095-2012）</w:t>
                  </w:r>
                  <w:r>
                    <w:rPr>
                      <w:rFonts w:hint="eastAsia"/>
                      <w:bCs/>
                      <w:color w:val="FF0000"/>
                      <w:sz w:val="21"/>
                      <w:szCs w:val="21"/>
                    </w:rPr>
                    <w:t>及其修改单二级标准</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339" w:type="dxa"/>
                  <w:vAlign w:val="center"/>
                </w:tcPr>
                <w:p>
                  <w:pPr>
                    <w:pStyle w:val="29"/>
                    <w:rPr>
                      <w:bCs/>
                      <w:color w:val="FF0000"/>
                      <w:sz w:val="21"/>
                      <w:szCs w:val="21"/>
                    </w:rPr>
                  </w:pPr>
                  <w:r>
                    <w:rPr>
                      <w:color w:val="FF0000"/>
                      <w:kern w:val="0"/>
                      <w:sz w:val="21"/>
                      <w:szCs w:val="21"/>
                    </w:rPr>
                    <w:t>SO</w:t>
                  </w:r>
                  <w:r>
                    <w:rPr>
                      <w:color w:val="FF0000"/>
                      <w:kern w:val="0"/>
                      <w:sz w:val="21"/>
                      <w:szCs w:val="21"/>
                      <w:vertAlign w:val="subscript"/>
                    </w:rPr>
                    <w:t>2</w:t>
                  </w:r>
                </w:p>
              </w:tc>
              <w:tc>
                <w:tcPr>
                  <w:tcW w:w="2325" w:type="dxa"/>
                  <w:vAlign w:val="center"/>
                </w:tcPr>
                <w:p>
                  <w:pPr>
                    <w:pStyle w:val="29"/>
                    <w:rPr>
                      <w:bCs/>
                      <w:color w:val="FF0000"/>
                      <w:sz w:val="21"/>
                      <w:szCs w:val="21"/>
                    </w:rPr>
                  </w:pPr>
                  <w:r>
                    <w:rPr>
                      <w:rFonts w:hint="eastAsia"/>
                      <w:bCs/>
                      <w:color w:val="FF0000"/>
                      <w:sz w:val="21"/>
                      <w:szCs w:val="21"/>
                    </w:rPr>
                    <w:t>1小时</w:t>
                  </w:r>
                  <w:r>
                    <w:rPr>
                      <w:bCs/>
                      <w:color w:val="FF0000"/>
                      <w:sz w:val="21"/>
                      <w:szCs w:val="21"/>
                    </w:rPr>
                    <w:t>平均值</w:t>
                  </w:r>
                </w:p>
              </w:tc>
              <w:tc>
                <w:tcPr>
                  <w:tcW w:w="1995" w:type="dxa"/>
                  <w:vAlign w:val="center"/>
                </w:tcPr>
                <w:p>
                  <w:pPr>
                    <w:pStyle w:val="29"/>
                    <w:rPr>
                      <w:bCs/>
                      <w:color w:val="FF0000"/>
                      <w:sz w:val="21"/>
                      <w:szCs w:val="21"/>
                    </w:rPr>
                  </w:pPr>
                  <w:r>
                    <w:rPr>
                      <w:rFonts w:hint="eastAsia"/>
                      <w:bCs/>
                      <w:color w:val="FF0000"/>
                      <w:sz w:val="21"/>
                      <w:szCs w:val="21"/>
                    </w:rPr>
                    <w:t>500</w:t>
                  </w:r>
                </w:p>
              </w:tc>
              <w:tc>
                <w:tcPr>
                  <w:tcW w:w="2637" w:type="dxa"/>
                  <w:vMerge w:val="continue"/>
                  <w:vAlign w:val="center"/>
                </w:tcPr>
                <w:p>
                  <w:pPr>
                    <w:pStyle w:val="29"/>
                    <w:rPr>
                      <w:bCs/>
                      <w:color w:val="FF0000"/>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339" w:type="dxa"/>
                  <w:vAlign w:val="center"/>
                </w:tcPr>
                <w:p>
                  <w:pPr>
                    <w:pStyle w:val="29"/>
                    <w:rPr>
                      <w:rFonts w:hint="eastAsia" w:eastAsia="宋体"/>
                      <w:bCs/>
                      <w:color w:val="FF0000"/>
                      <w:sz w:val="21"/>
                      <w:szCs w:val="21"/>
                      <w:lang w:eastAsia="zh-CN"/>
                    </w:rPr>
                  </w:pPr>
                  <w:r>
                    <w:rPr>
                      <w:color w:val="FF0000"/>
                      <w:kern w:val="0"/>
                      <w:sz w:val="21"/>
                      <w:szCs w:val="21"/>
                    </w:rPr>
                    <w:t>NO</w:t>
                  </w:r>
                  <w:r>
                    <w:rPr>
                      <w:rFonts w:hint="eastAsia"/>
                      <w:color w:val="FF0000"/>
                      <w:kern w:val="0"/>
                      <w:sz w:val="21"/>
                      <w:szCs w:val="21"/>
                      <w:vertAlign w:val="subscript"/>
                      <w:lang w:val="en-US" w:eastAsia="zh-CN"/>
                    </w:rPr>
                    <w:t>x</w:t>
                  </w:r>
                </w:p>
              </w:tc>
              <w:tc>
                <w:tcPr>
                  <w:tcW w:w="2325" w:type="dxa"/>
                  <w:vAlign w:val="center"/>
                </w:tcPr>
                <w:p>
                  <w:pPr>
                    <w:pStyle w:val="29"/>
                    <w:rPr>
                      <w:bCs/>
                      <w:color w:val="FF0000"/>
                      <w:sz w:val="21"/>
                      <w:szCs w:val="21"/>
                    </w:rPr>
                  </w:pPr>
                  <w:r>
                    <w:rPr>
                      <w:rFonts w:hint="eastAsia"/>
                      <w:bCs/>
                      <w:color w:val="FF0000"/>
                      <w:sz w:val="21"/>
                      <w:szCs w:val="21"/>
                    </w:rPr>
                    <w:t>1小时</w:t>
                  </w:r>
                  <w:r>
                    <w:rPr>
                      <w:bCs/>
                      <w:color w:val="FF0000"/>
                      <w:sz w:val="21"/>
                      <w:szCs w:val="21"/>
                    </w:rPr>
                    <w:t>平均值</w:t>
                  </w:r>
                </w:p>
              </w:tc>
              <w:tc>
                <w:tcPr>
                  <w:tcW w:w="1995" w:type="dxa"/>
                  <w:vAlign w:val="center"/>
                </w:tcPr>
                <w:p>
                  <w:pPr>
                    <w:pStyle w:val="29"/>
                    <w:rPr>
                      <w:bCs/>
                      <w:color w:val="FF0000"/>
                      <w:sz w:val="21"/>
                      <w:szCs w:val="21"/>
                    </w:rPr>
                  </w:pPr>
                  <w:r>
                    <w:rPr>
                      <w:rFonts w:hint="eastAsia"/>
                      <w:bCs/>
                      <w:color w:val="FF0000"/>
                      <w:sz w:val="21"/>
                      <w:szCs w:val="21"/>
                    </w:rPr>
                    <w:t>2</w:t>
                  </w:r>
                  <w:r>
                    <w:rPr>
                      <w:rFonts w:hint="eastAsia"/>
                      <w:bCs/>
                      <w:color w:val="FF0000"/>
                      <w:sz w:val="21"/>
                      <w:szCs w:val="21"/>
                      <w:lang w:val="en-US" w:eastAsia="zh-CN"/>
                    </w:rPr>
                    <w:t>5</w:t>
                  </w:r>
                  <w:r>
                    <w:rPr>
                      <w:rFonts w:hint="eastAsia"/>
                      <w:bCs/>
                      <w:color w:val="FF0000"/>
                      <w:sz w:val="21"/>
                      <w:szCs w:val="21"/>
                    </w:rPr>
                    <w:t>0</w:t>
                  </w:r>
                </w:p>
              </w:tc>
              <w:tc>
                <w:tcPr>
                  <w:tcW w:w="2637" w:type="dxa"/>
                  <w:vMerge w:val="continue"/>
                  <w:vAlign w:val="center"/>
                </w:tcPr>
                <w:p>
                  <w:pPr>
                    <w:pStyle w:val="29"/>
                    <w:rPr>
                      <w:bCs/>
                      <w:color w:val="FF0000"/>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Ex>
              <w:trPr>
                <w:trHeight w:val="591" w:hRule="atLeast"/>
                <w:jc w:val="center"/>
              </w:trPr>
              <w:tc>
                <w:tcPr>
                  <w:tcW w:w="1339" w:type="dxa"/>
                  <w:vAlign w:val="center"/>
                </w:tcPr>
                <w:p>
                  <w:pPr>
                    <w:pStyle w:val="29"/>
                    <w:rPr>
                      <w:bCs/>
                      <w:color w:val="FF0000"/>
                      <w:sz w:val="21"/>
                      <w:szCs w:val="21"/>
                    </w:rPr>
                  </w:pPr>
                  <w:r>
                    <w:rPr>
                      <w:rFonts w:hint="eastAsia"/>
                      <w:bCs/>
                      <w:color w:val="FF0000"/>
                      <w:sz w:val="21"/>
                      <w:szCs w:val="21"/>
                    </w:rPr>
                    <w:t>TVOC</w:t>
                  </w:r>
                </w:p>
              </w:tc>
              <w:tc>
                <w:tcPr>
                  <w:tcW w:w="2325" w:type="dxa"/>
                  <w:vAlign w:val="center"/>
                </w:tcPr>
                <w:p>
                  <w:pPr>
                    <w:pStyle w:val="29"/>
                    <w:rPr>
                      <w:bCs/>
                      <w:color w:val="FF0000"/>
                      <w:sz w:val="21"/>
                      <w:szCs w:val="21"/>
                    </w:rPr>
                  </w:pPr>
                  <w:r>
                    <w:rPr>
                      <w:bCs/>
                      <w:color w:val="FF0000"/>
                      <w:sz w:val="21"/>
                      <w:szCs w:val="21"/>
                    </w:rPr>
                    <w:t>1小时平均值</w:t>
                  </w:r>
                </w:p>
                <w:p>
                  <w:pPr>
                    <w:pStyle w:val="29"/>
                    <w:rPr>
                      <w:bCs/>
                      <w:color w:val="FF0000"/>
                      <w:sz w:val="21"/>
                      <w:szCs w:val="21"/>
                    </w:rPr>
                  </w:pPr>
                  <w:r>
                    <w:rPr>
                      <w:bCs/>
                      <w:color w:val="FF0000"/>
                      <w:sz w:val="21"/>
                      <w:szCs w:val="21"/>
                    </w:rPr>
                    <w:t>（2倍折算）</w:t>
                  </w:r>
                </w:p>
              </w:tc>
              <w:tc>
                <w:tcPr>
                  <w:tcW w:w="1995" w:type="dxa"/>
                  <w:tcBorders/>
                  <w:vAlign w:val="center"/>
                </w:tcPr>
                <w:p>
                  <w:pPr>
                    <w:pStyle w:val="29"/>
                    <w:rPr>
                      <w:bCs/>
                      <w:color w:val="FF0000"/>
                      <w:sz w:val="21"/>
                      <w:szCs w:val="21"/>
                    </w:rPr>
                  </w:pPr>
                  <w:r>
                    <w:rPr>
                      <w:bCs/>
                      <w:color w:val="FF0000"/>
                      <w:sz w:val="21"/>
                      <w:szCs w:val="21"/>
                    </w:rPr>
                    <w:t>1200</w:t>
                  </w:r>
                </w:p>
              </w:tc>
              <w:tc>
                <w:tcPr>
                  <w:tcW w:w="2637" w:type="dxa"/>
                  <w:vAlign w:val="center"/>
                </w:tcPr>
                <w:p>
                  <w:pPr>
                    <w:pStyle w:val="29"/>
                    <w:rPr>
                      <w:bCs/>
                      <w:color w:val="FF0000"/>
                      <w:sz w:val="21"/>
                      <w:szCs w:val="21"/>
                    </w:rPr>
                  </w:pPr>
                  <w:r>
                    <w:rPr>
                      <w:bCs/>
                      <w:color w:val="FF0000"/>
                      <w:sz w:val="21"/>
                      <w:szCs w:val="21"/>
                    </w:rPr>
                    <w:t>《环境影响评价技术导则-大气环境》 HJ 2.2-2018 附录D</w:t>
                  </w:r>
                </w:p>
              </w:tc>
            </w:tr>
          </w:tbl>
          <w:p>
            <w:pPr>
              <w:widowControl/>
              <w:spacing w:line="360" w:lineRule="auto"/>
              <w:ind w:firstLine="482" w:firstLineChars="200"/>
              <w:jc w:val="left"/>
              <w:rPr>
                <w:b/>
                <w:bCs/>
                <w:sz w:val="24"/>
              </w:rPr>
            </w:pPr>
            <w:r>
              <w:rPr>
                <w:rFonts w:hint="eastAsia" w:ascii="宋体" w:hAnsi="宋体" w:cs="宋体"/>
                <w:b/>
                <w:bCs/>
                <w:sz w:val="24"/>
              </w:rPr>
              <w:t>②</w:t>
            </w:r>
            <w:r>
              <w:rPr>
                <w:b/>
                <w:bCs/>
                <w:sz w:val="24"/>
              </w:rPr>
              <w:t>估算模型计算</w:t>
            </w:r>
          </w:p>
          <w:p>
            <w:pPr>
              <w:spacing w:line="360" w:lineRule="auto"/>
              <w:ind w:firstLine="480"/>
              <w:rPr>
                <w:sz w:val="24"/>
                <w:lang w:val="zh-CN"/>
              </w:rPr>
            </w:pPr>
            <w:r>
              <w:rPr>
                <w:sz w:val="24"/>
                <w:lang w:val="zh-CN"/>
              </w:rPr>
              <w:t>本项目污染源参数见表</w:t>
            </w:r>
            <w:r>
              <w:rPr>
                <w:rFonts w:hint="eastAsia"/>
                <w:sz w:val="24"/>
                <w:lang w:val="zh-CN"/>
              </w:rPr>
              <w:t>7-</w:t>
            </w:r>
            <w:r>
              <w:rPr>
                <w:rFonts w:hint="eastAsia"/>
                <w:sz w:val="24"/>
              </w:rPr>
              <w:t>9</w:t>
            </w:r>
            <w:r>
              <w:rPr>
                <w:sz w:val="24"/>
                <w:lang w:val="zh-CN"/>
              </w:rPr>
              <w:t>、表</w:t>
            </w:r>
            <w:r>
              <w:rPr>
                <w:rFonts w:hint="eastAsia"/>
                <w:sz w:val="24"/>
                <w:lang w:val="zh-CN"/>
              </w:rPr>
              <w:t>7-</w:t>
            </w:r>
            <w:r>
              <w:rPr>
                <w:rFonts w:hint="eastAsia"/>
                <w:sz w:val="24"/>
              </w:rPr>
              <w:t>10</w:t>
            </w:r>
            <w:r>
              <w:rPr>
                <w:sz w:val="24"/>
                <w:lang w:val="zh-CN"/>
              </w:rPr>
              <w:t>，</w:t>
            </w:r>
            <w:r>
              <w:rPr>
                <w:rFonts w:hint="eastAsia"/>
                <w:sz w:val="24"/>
                <w:lang w:val="zh-CN"/>
              </w:rPr>
              <w:t>估算模型参数详见表7-</w:t>
            </w:r>
            <w:r>
              <w:rPr>
                <w:rFonts w:hint="eastAsia"/>
                <w:sz w:val="24"/>
              </w:rPr>
              <w:t>11</w:t>
            </w:r>
            <w:r>
              <w:rPr>
                <w:rFonts w:hint="eastAsia"/>
                <w:sz w:val="24"/>
                <w:lang w:val="zh-CN"/>
              </w:rPr>
              <w:t>，</w:t>
            </w:r>
            <w:r>
              <w:rPr>
                <w:sz w:val="24"/>
                <w:lang w:val="zh-CN"/>
              </w:rPr>
              <w:t>计算结果见表</w:t>
            </w:r>
            <w:r>
              <w:rPr>
                <w:rFonts w:hint="eastAsia"/>
                <w:sz w:val="24"/>
                <w:lang w:val="zh-CN"/>
              </w:rPr>
              <w:t>7-</w:t>
            </w:r>
            <w:r>
              <w:rPr>
                <w:rFonts w:hint="eastAsia"/>
                <w:sz w:val="24"/>
              </w:rPr>
              <w:t>12</w:t>
            </w:r>
            <w:r>
              <w:rPr>
                <w:sz w:val="24"/>
                <w:lang w:val="zh-CN"/>
              </w:rPr>
              <w:t>。</w:t>
            </w:r>
          </w:p>
          <w:p>
            <w:pPr>
              <w:pStyle w:val="7"/>
              <w:spacing w:line="360" w:lineRule="auto"/>
              <w:jc w:val="center"/>
              <w:rPr>
                <w:b/>
                <w:bCs/>
                <w:sz w:val="21"/>
                <w:szCs w:val="21"/>
              </w:rPr>
            </w:pPr>
            <w:r>
              <w:rPr>
                <w:b/>
                <w:bCs/>
                <w:sz w:val="21"/>
                <w:szCs w:val="21"/>
              </w:rPr>
              <w:t>表</w:t>
            </w:r>
            <w:r>
              <w:rPr>
                <w:rFonts w:hint="eastAsia"/>
                <w:b/>
                <w:bCs/>
                <w:sz w:val="21"/>
                <w:szCs w:val="21"/>
              </w:rPr>
              <w:t xml:space="preserve">7-9  </w:t>
            </w:r>
            <w:r>
              <w:rPr>
                <w:b/>
                <w:bCs/>
                <w:sz w:val="21"/>
                <w:szCs w:val="21"/>
              </w:rPr>
              <w:t>本项目点源参数表</w:t>
            </w:r>
          </w:p>
          <w:tbl>
            <w:tblPr>
              <w:tblStyle w:val="15"/>
              <w:tblW w:w="855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0"/>
              <w:gridCol w:w="717"/>
              <w:gridCol w:w="530"/>
              <w:gridCol w:w="592"/>
              <w:gridCol w:w="656"/>
              <w:gridCol w:w="658"/>
              <w:gridCol w:w="657"/>
              <w:gridCol w:w="725"/>
              <w:gridCol w:w="495"/>
              <w:gridCol w:w="680"/>
              <w:gridCol w:w="420"/>
              <w:gridCol w:w="870"/>
              <w:gridCol w:w="1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5" w:hRule="atLeast"/>
                <w:jc w:val="center"/>
              </w:trPr>
              <w:tc>
                <w:tcPr>
                  <w:tcW w:w="480" w:type="dxa"/>
                  <w:vMerge w:val="restart"/>
                  <w:vAlign w:val="center"/>
                </w:tcPr>
                <w:p>
                  <w:pPr>
                    <w:jc w:val="center"/>
                    <w:rPr>
                      <w:szCs w:val="21"/>
                      <w:lang w:val="zh-CN"/>
                    </w:rPr>
                  </w:pPr>
                  <w:r>
                    <w:rPr>
                      <w:szCs w:val="21"/>
                      <w:lang w:val="zh-CN"/>
                    </w:rPr>
                    <w:t>编号</w:t>
                  </w:r>
                </w:p>
              </w:tc>
              <w:tc>
                <w:tcPr>
                  <w:tcW w:w="717" w:type="dxa"/>
                  <w:vMerge w:val="restart"/>
                  <w:vAlign w:val="center"/>
                </w:tcPr>
                <w:p>
                  <w:pPr>
                    <w:jc w:val="center"/>
                    <w:rPr>
                      <w:szCs w:val="21"/>
                      <w:lang w:val="zh-CN"/>
                    </w:rPr>
                  </w:pPr>
                  <w:r>
                    <w:rPr>
                      <w:szCs w:val="21"/>
                      <w:lang w:val="zh-CN"/>
                    </w:rPr>
                    <w:t>名称</w:t>
                  </w:r>
                </w:p>
              </w:tc>
              <w:tc>
                <w:tcPr>
                  <w:tcW w:w="1122" w:type="dxa"/>
                  <w:gridSpan w:val="2"/>
                  <w:vAlign w:val="center"/>
                </w:tcPr>
                <w:p>
                  <w:pPr>
                    <w:autoSpaceDE w:val="0"/>
                    <w:autoSpaceDN w:val="0"/>
                    <w:adjustRightInd w:val="0"/>
                    <w:jc w:val="center"/>
                    <w:rPr>
                      <w:kern w:val="0"/>
                      <w:szCs w:val="21"/>
                    </w:rPr>
                  </w:pPr>
                  <w:r>
                    <w:rPr>
                      <w:kern w:val="0"/>
                      <w:szCs w:val="21"/>
                    </w:rPr>
                    <w:t>排气筒底部中心坐标/m</w:t>
                  </w:r>
                </w:p>
              </w:tc>
              <w:tc>
                <w:tcPr>
                  <w:tcW w:w="656" w:type="dxa"/>
                  <w:vMerge w:val="restart"/>
                  <w:vAlign w:val="center"/>
                </w:tcPr>
                <w:p>
                  <w:pPr>
                    <w:jc w:val="center"/>
                    <w:rPr>
                      <w:szCs w:val="21"/>
                      <w:lang w:val="zh-CN"/>
                    </w:rPr>
                  </w:pPr>
                  <w:r>
                    <w:rPr>
                      <w:kern w:val="0"/>
                      <w:szCs w:val="21"/>
                    </w:rPr>
                    <w:t>排气筒底部海拔高度/m</w:t>
                  </w:r>
                </w:p>
              </w:tc>
              <w:tc>
                <w:tcPr>
                  <w:tcW w:w="658" w:type="dxa"/>
                  <w:vMerge w:val="restart"/>
                  <w:vAlign w:val="center"/>
                </w:tcPr>
                <w:p>
                  <w:pPr>
                    <w:jc w:val="center"/>
                    <w:rPr>
                      <w:szCs w:val="21"/>
                      <w:lang w:val="zh-CN"/>
                    </w:rPr>
                  </w:pPr>
                  <w:r>
                    <w:rPr>
                      <w:szCs w:val="21"/>
                      <w:lang w:val="zh-CN"/>
                    </w:rPr>
                    <w:t>排气筒高度/m</w:t>
                  </w:r>
                </w:p>
              </w:tc>
              <w:tc>
                <w:tcPr>
                  <w:tcW w:w="657" w:type="dxa"/>
                  <w:vMerge w:val="restart"/>
                  <w:vAlign w:val="center"/>
                </w:tcPr>
                <w:p>
                  <w:pPr>
                    <w:jc w:val="center"/>
                    <w:rPr>
                      <w:szCs w:val="21"/>
                      <w:lang w:val="zh-CN"/>
                    </w:rPr>
                  </w:pPr>
                  <w:r>
                    <w:rPr>
                      <w:szCs w:val="21"/>
                      <w:lang w:val="zh-CN"/>
                    </w:rPr>
                    <w:t>排气筒出口内径/m</w:t>
                  </w:r>
                </w:p>
              </w:tc>
              <w:tc>
                <w:tcPr>
                  <w:tcW w:w="725" w:type="dxa"/>
                  <w:vMerge w:val="restart"/>
                  <w:vAlign w:val="center"/>
                </w:tcPr>
                <w:p>
                  <w:pPr>
                    <w:jc w:val="center"/>
                    <w:rPr>
                      <w:szCs w:val="21"/>
                      <w:lang w:val="zh-CN"/>
                    </w:rPr>
                  </w:pPr>
                  <w:r>
                    <w:rPr>
                      <w:szCs w:val="21"/>
                      <w:lang w:val="zh-CN"/>
                    </w:rPr>
                    <w:t>烟气流速m/s</w:t>
                  </w:r>
                </w:p>
              </w:tc>
              <w:tc>
                <w:tcPr>
                  <w:tcW w:w="495" w:type="dxa"/>
                  <w:vMerge w:val="restart"/>
                  <w:vAlign w:val="center"/>
                </w:tcPr>
                <w:p>
                  <w:pPr>
                    <w:jc w:val="center"/>
                    <w:rPr>
                      <w:szCs w:val="21"/>
                      <w:lang w:val="zh-CN"/>
                    </w:rPr>
                  </w:pPr>
                  <w:r>
                    <w:rPr>
                      <w:szCs w:val="21"/>
                      <w:lang w:val="zh-CN"/>
                    </w:rPr>
                    <w:t>烟气温度℃</w:t>
                  </w:r>
                </w:p>
              </w:tc>
              <w:tc>
                <w:tcPr>
                  <w:tcW w:w="680" w:type="dxa"/>
                  <w:vMerge w:val="restart"/>
                  <w:vAlign w:val="center"/>
                </w:tcPr>
                <w:p>
                  <w:pPr>
                    <w:jc w:val="center"/>
                    <w:rPr>
                      <w:szCs w:val="21"/>
                      <w:lang w:val="zh-CN"/>
                    </w:rPr>
                  </w:pPr>
                  <w:r>
                    <w:rPr>
                      <w:szCs w:val="21"/>
                      <w:lang w:val="zh-CN"/>
                    </w:rPr>
                    <w:t>年排放小时数</w:t>
                  </w:r>
                </w:p>
              </w:tc>
              <w:tc>
                <w:tcPr>
                  <w:tcW w:w="420" w:type="dxa"/>
                  <w:vMerge w:val="restart"/>
                  <w:vAlign w:val="center"/>
                </w:tcPr>
                <w:p>
                  <w:pPr>
                    <w:jc w:val="center"/>
                    <w:rPr>
                      <w:szCs w:val="21"/>
                      <w:lang w:val="zh-CN"/>
                    </w:rPr>
                  </w:pPr>
                  <w:r>
                    <w:rPr>
                      <w:szCs w:val="21"/>
                      <w:lang w:val="zh-CN"/>
                    </w:rPr>
                    <w:t>排放工况</w:t>
                  </w:r>
                </w:p>
              </w:tc>
              <w:tc>
                <w:tcPr>
                  <w:tcW w:w="870" w:type="dxa"/>
                  <w:vMerge w:val="restart"/>
                  <w:vAlign w:val="center"/>
                </w:tcPr>
                <w:p>
                  <w:pPr>
                    <w:rPr>
                      <w:szCs w:val="21"/>
                      <w:lang w:val="zh-CN"/>
                    </w:rPr>
                  </w:pPr>
                  <w:r>
                    <w:rPr>
                      <w:szCs w:val="21"/>
                      <w:lang w:val="zh-CN"/>
                    </w:rPr>
                    <w:t>污染物</w:t>
                  </w:r>
                </w:p>
              </w:tc>
              <w:tc>
                <w:tcPr>
                  <w:tcW w:w="1075" w:type="dxa"/>
                  <w:vMerge w:val="restart"/>
                  <w:vAlign w:val="center"/>
                </w:tcPr>
                <w:p>
                  <w:pPr>
                    <w:jc w:val="center"/>
                    <w:rPr>
                      <w:szCs w:val="21"/>
                      <w:lang w:val="zh-CN"/>
                    </w:rPr>
                  </w:pPr>
                  <w:r>
                    <w:rPr>
                      <w:szCs w:val="21"/>
                      <w:lang w:val="zh-CN"/>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0" w:hRule="atLeast"/>
                <w:jc w:val="center"/>
              </w:trPr>
              <w:tc>
                <w:tcPr>
                  <w:tcW w:w="480" w:type="dxa"/>
                  <w:vMerge w:val="continue"/>
                  <w:vAlign w:val="center"/>
                </w:tcPr>
                <w:p>
                  <w:pPr>
                    <w:autoSpaceDE w:val="0"/>
                    <w:autoSpaceDN w:val="0"/>
                    <w:adjustRightInd w:val="0"/>
                    <w:jc w:val="center"/>
                    <w:rPr>
                      <w:szCs w:val="21"/>
                    </w:rPr>
                  </w:pPr>
                </w:p>
              </w:tc>
              <w:tc>
                <w:tcPr>
                  <w:tcW w:w="717" w:type="dxa"/>
                  <w:vMerge w:val="continue"/>
                  <w:vAlign w:val="center"/>
                </w:tcPr>
                <w:p>
                  <w:pPr>
                    <w:autoSpaceDE w:val="0"/>
                    <w:autoSpaceDN w:val="0"/>
                    <w:adjustRightInd w:val="0"/>
                    <w:jc w:val="center"/>
                    <w:rPr>
                      <w:szCs w:val="21"/>
                    </w:rPr>
                  </w:pPr>
                </w:p>
              </w:tc>
              <w:tc>
                <w:tcPr>
                  <w:tcW w:w="530" w:type="dxa"/>
                  <w:vAlign w:val="center"/>
                </w:tcPr>
                <w:p>
                  <w:pPr>
                    <w:autoSpaceDE w:val="0"/>
                    <w:autoSpaceDN w:val="0"/>
                    <w:adjustRightInd w:val="0"/>
                    <w:jc w:val="center"/>
                    <w:rPr>
                      <w:szCs w:val="21"/>
                    </w:rPr>
                  </w:pPr>
                  <w:r>
                    <w:rPr>
                      <w:rFonts w:hint="eastAsia"/>
                      <w:szCs w:val="21"/>
                    </w:rPr>
                    <w:t>X</w:t>
                  </w:r>
                </w:p>
              </w:tc>
              <w:tc>
                <w:tcPr>
                  <w:tcW w:w="592" w:type="dxa"/>
                  <w:vAlign w:val="center"/>
                </w:tcPr>
                <w:p>
                  <w:pPr>
                    <w:autoSpaceDE w:val="0"/>
                    <w:autoSpaceDN w:val="0"/>
                    <w:adjustRightInd w:val="0"/>
                    <w:jc w:val="center"/>
                    <w:rPr>
                      <w:szCs w:val="21"/>
                    </w:rPr>
                  </w:pPr>
                  <w:r>
                    <w:rPr>
                      <w:rFonts w:hint="eastAsia"/>
                      <w:szCs w:val="21"/>
                    </w:rPr>
                    <w:t>Y</w:t>
                  </w:r>
                </w:p>
              </w:tc>
              <w:tc>
                <w:tcPr>
                  <w:tcW w:w="656" w:type="dxa"/>
                  <w:vMerge w:val="continue"/>
                  <w:vAlign w:val="center"/>
                </w:tcPr>
                <w:p>
                  <w:pPr>
                    <w:autoSpaceDE w:val="0"/>
                    <w:autoSpaceDN w:val="0"/>
                    <w:adjustRightInd w:val="0"/>
                    <w:jc w:val="center"/>
                    <w:rPr>
                      <w:szCs w:val="21"/>
                    </w:rPr>
                  </w:pPr>
                </w:p>
              </w:tc>
              <w:tc>
                <w:tcPr>
                  <w:tcW w:w="658" w:type="dxa"/>
                  <w:vMerge w:val="continue"/>
                  <w:vAlign w:val="center"/>
                </w:tcPr>
                <w:p>
                  <w:pPr>
                    <w:autoSpaceDE w:val="0"/>
                    <w:autoSpaceDN w:val="0"/>
                    <w:adjustRightInd w:val="0"/>
                    <w:jc w:val="center"/>
                    <w:rPr>
                      <w:szCs w:val="21"/>
                    </w:rPr>
                  </w:pPr>
                </w:p>
              </w:tc>
              <w:tc>
                <w:tcPr>
                  <w:tcW w:w="657" w:type="dxa"/>
                  <w:vMerge w:val="continue"/>
                  <w:vAlign w:val="center"/>
                </w:tcPr>
                <w:p>
                  <w:pPr>
                    <w:autoSpaceDE w:val="0"/>
                    <w:autoSpaceDN w:val="0"/>
                    <w:adjustRightInd w:val="0"/>
                    <w:jc w:val="center"/>
                    <w:rPr>
                      <w:szCs w:val="21"/>
                    </w:rPr>
                  </w:pPr>
                </w:p>
              </w:tc>
              <w:tc>
                <w:tcPr>
                  <w:tcW w:w="725" w:type="dxa"/>
                  <w:vMerge w:val="continue"/>
                  <w:vAlign w:val="center"/>
                </w:tcPr>
                <w:p>
                  <w:pPr>
                    <w:autoSpaceDE w:val="0"/>
                    <w:autoSpaceDN w:val="0"/>
                    <w:adjustRightInd w:val="0"/>
                    <w:jc w:val="center"/>
                    <w:rPr>
                      <w:szCs w:val="21"/>
                    </w:rPr>
                  </w:pPr>
                </w:p>
              </w:tc>
              <w:tc>
                <w:tcPr>
                  <w:tcW w:w="495" w:type="dxa"/>
                  <w:vMerge w:val="continue"/>
                  <w:vAlign w:val="center"/>
                </w:tcPr>
                <w:p>
                  <w:pPr>
                    <w:autoSpaceDE w:val="0"/>
                    <w:autoSpaceDN w:val="0"/>
                    <w:adjustRightInd w:val="0"/>
                    <w:jc w:val="center"/>
                    <w:rPr>
                      <w:szCs w:val="21"/>
                    </w:rPr>
                  </w:pPr>
                </w:p>
              </w:tc>
              <w:tc>
                <w:tcPr>
                  <w:tcW w:w="680" w:type="dxa"/>
                  <w:vMerge w:val="continue"/>
                  <w:vAlign w:val="center"/>
                </w:tcPr>
                <w:p>
                  <w:pPr>
                    <w:autoSpaceDE w:val="0"/>
                    <w:autoSpaceDN w:val="0"/>
                    <w:adjustRightInd w:val="0"/>
                    <w:jc w:val="center"/>
                    <w:rPr>
                      <w:szCs w:val="21"/>
                    </w:rPr>
                  </w:pPr>
                </w:p>
              </w:tc>
              <w:tc>
                <w:tcPr>
                  <w:tcW w:w="420" w:type="dxa"/>
                  <w:vMerge w:val="continue"/>
                  <w:vAlign w:val="center"/>
                </w:tcPr>
                <w:p>
                  <w:pPr>
                    <w:autoSpaceDE w:val="0"/>
                    <w:autoSpaceDN w:val="0"/>
                    <w:adjustRightInd w:val="0"/>
                    <w:jc w:val="center"/>
                    <w:rPr>
                      <w:szCs w:val="21"/>
                    </w:rPr>
                  </w:pPr>
                </w:p>
              </w:tc>
              <w:tc>
                <w:tcPr>
                  <w:tcW w:w="870" w:type="dxa"/>
                  <w:vMerge w:val="continue"/>
                  <w:vAlign w:val="center"/>
                </w:tcPr>
                <w:p>
                  <w:pPr>
                    <w:autoSpaceDE w:val="0"/>
                    <w:autoSpaceDN w:val="0"/>
                    <w:adjustRightInd w:val="0"/>
                    <w:jc w:val="center"/>
                    <w:rPr>
                      <w:szCs w:val="21"/>
                    </w:rPr>
                  </w:pPr>
                </w:p>
              </w:tc>
              <w:tc>
                <w:tcPr>
                  <w:tcW w:w="1075" w:type="dxa"/>
                  <w:vMerge w:val="continue"/>
                  <w:vAlign w:val="center"/>
                </w:tcPr>
                <w:p>
                  <w:pPr>
                    <w:autoSpaceDE w:val="0"/>
                    <w:autoSpaceDN w:val="0"/>
                    <w:adjustRightIn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6" w:hRule="atLeast"/>
                <w:jc w:val="center"/>
              </w:trPr>
              <w:tc>
                <w:tcPr>
                  <w:tcW w:w="480" w:type="dxa"/>
                  <w:vAlign w:val="center"/>
                </w:tcPr>
                <w:p>
                  <w:pPr>
                    <w:jc w:val="center"/>
                    <w:rPr>
                      <w:szCs w:val="21"/>
                      <w:lang w:val="zh-CN"/>
                    </w:rPr>
                  </w:pPr>
                  <w:r>
                    <w:rPr>
                      <w:szCs w:val="21"/>
                      <w:lang w:val="zh-CN"/>
                    </w:rPr>
                    <w:t>1</w:t>
                  </w:r>
                </w:p>
              </w:tc>
              <w:tc>
                <w:tcPr>
                  <w:tcW w:w="717" w:type="dxa"/>
                  <w:vAlign w:val="center"/>
                </w:tcPr>
                <w:p>
                  <w:pPr>
                    <w:jc w:val="center"/>
                    <w:rPr>
                      <w:rFonts w:hint="default" w:eastAsia="宋体"/>
                      <w:szCs w:val="21"/>
                      <w:lang w:val="en-US" w:eastAsia="zh-CN"/>
                    </w:rPr>
                  </w:pPr>
                  <w:r>
                    <w:rPr>
                      <w:rFonts w:hint="eastAsia"/>
                      <w:szCs w:val="21"/>
                      <w:lang w:val="en-US" w:eastAsia="zh-CN"/>
                    </w:rPr>
                    <w:t>G1</w:t>
                  </w:r>
                </w:p>
              </w:tc>
              <w:tc>
                <w:tcPr>
                  <w:tcW w:w="530" w:type="dxa"/>
                  <w:vAlign w:val="center"/>
                </w:tcPr>
                <w:p>
                  <w:pPr>
                    <w:jc w:val="center"/>
                    <w:rPr>
                      <w:szCs w:val="21"/>
                    </w:rPr>
                  </w:pPr>
                  <w:r>
                    <w:rPr>
                      <w:rFonts w:hint="eastAsia"/>
                      <w:szCs w:val="21"/>
                    </w:rPr>
                    <w:t>20</w:t>
                  </w:r>
                </w:p>
              </w:tc>
              <w:tc>
                <w:tcPr>
                  <w:tcW w:w="592" w:type="dxa"/>
                  <w:vAlign w:val="center"/>
                </w:tcPr>
                <w:p>
                  <w:pPr>
                    <w:jc w:val="center"/>
                    <w:rPr>
                      <w:szCs w:val="21"/>
                    </w:rPr>
                  </w:pPr>
                  <w:r>
                    <w:rPr>
                      <w:rFonts w:hint="eastAsia"/>
                      <w:szCs w:val="21"/>
                    </w:rPr>
                    <w:t>0</w:t>
                  </w:r>
                </w:p>
              </w:tc>
              <w:tc>
                <w:tcPr>
                  <w:tcW w:w="656" w:type="dxa"/>
                  <w:vAlign w:val="center"/>
                </w:tcPr>
                <w:p>
                  <w:pPr>
                    <w:jc w:val="center"/>
                    <w:rPr>
                      <w:szCs w:val="21"/>
                      <w:lang w:val="zh-CN"/>
                    </w:rPr>
                  </w:pPr>
                  <w:r>
                    <w:rPr>
                      <w:szCs w:val="21"/>
                      <w:lang w:val="zh-CN"/>
                    </w:rPr>
                    <w:t>0</w:t>
                  </w:r>
                </w:p>
              </w:tc>
              <w:tc>
                <w:tcPr>
                  <w:tcW w:w="658" w:type="dxa"/>
                  <w:vAlign w:val="center"/>
                </w:tcPr>
                <w:p>
                  <w:pPr>
                    <w:jc w:val="center"/>
                    <w:rPr>
                      <w:szCs w:val="21"/>
                      <w:lang w:val="zh-CN"/>
                    </w:rPr>
                  </w:pPr>
                  <w:r>
                    <w:rPr>
                      <w:szCs w:val="21"/>
                      <w:lang w:val="zh-CN"/>
                    </w:rPr>
                    <w:t>15</w:t>
                  </w:r>
                </w:p>
              </w:tc>
              <w:tc>
                <w:tcPr>
                  <w:tcW w:w="657" w:type="dxa"/>
                  <w:vAlign w:val="center"/>
                </w:tcPr>
                <w:p>
                  <w:pPr>
                    <w:jc w:val="center"/>
                    <w:rPr>
                      <w:szCs w:val="21"/>
                      <w:lang w:val="zh-CN"/>
                    </w:rPr>
                  </w:pPr>
                  <w:r>
                    <w:rPr>
                      <w:rFonts w:hint="eastAsia"/>
                      <w:szCs w:val="21"/>
                      <w:lang w:val="zh-CN"/>
                    </w:rPr>
                    <w:t>0.</w:t>
                  </w:r>
                  <w:r>
                    <w:rPr>
                      <w:rFonts w:hint="eastAsia"/>
                      <w:szCs w:val="21"/>
                    </w:rPr>
                    <w:t>8</w:t>
                  </w:r>
                </w:p>
              </w:tc>
              <w:tc>
                <w:tcPr>
                  <w:tcW w:w="725" w:type="dxa"/>
                  <w:vAlign w:val="center"/>
                </w:tcPr>
                <w:p>
                  <w:pPr>
                    <w:jc w:val="center"/>
                    <w:rPr>
                      <w:szCs w:val="21"/>
                    </w:rPr>
                  </w:pPr>
                  <w:r>
                    <w:rPr>
                      <w:rFonts w:hint="eastAsia"/>
                      <w:szCs w:val="21"/>
                    </w:rPr>
                    <w:t>14.72</w:t>
                  </w:r>
                </w:p>
              </w:tc>
              <w:tc>
                <w:tcPr>
                  <w:tcW w:w="495" w:type="dxa"/>
                  <w:vAlign w:val="center"/>
                </w:tcPr>
                <w:p>
                  <w:pPr>
                    <w:jc w:val="center"/>
                    <w:rPr>
                      <w:szCs w:val="21"/>
                      <w:lang w:val="zh-CN"/>
                    </w:rPr>
                  </w:pPr>
                  <w:r>
                    <w:rPr>
                      <w:szCs w:val="21"/>
                      <w:lang w:val="zh-CN"/>
                    </w:rPr>
                    <w:t>30</w:t>
                  </w:r>
                </w:p>
              </w:tc>
              <w:tc>
                <w:tcPr>
                  <w:tcW w:w="680" w:type="dxa"/>
                  <w:vAlign w:val="center"/>
                </w:tcPr>
                <w:p>
                  <w:pPr>
                    <w:jc w:val="center"/>
                    <w:rPr>
                      <w:szCs w:val="21"/>
                      <w:lang w:val="zh-CN"/>
                    </w:rPr>
                  </w:pPr>
                  <w:r>
                    <w:rPr>
                      <w:szCs w:val="21"/>
                      <w:lang w:val="zh-CN"/>
                    </w:rPr>
                    <w:t>2400</w:t>
                  </w:r>
                </w:p>
              </w:tc>
              <w:tc>
                <w:tcPr>
                  <w:tcW w:w="420" w:type="dxa"/>
                  <w:vMerge w:val="restart"/>
                  <w:vAlign w:val="center"/>
                </w:tcPr>
                <w:p>
                  <w:pPr>
                    <w:jc w:val="center"/>
                    <w:rPr>
                      <w:szCs w:val="21"/>
                      <w:lang w:val="zh-CN"/>
                    </w:rPr>
                  </w:pPr>
                  <w:r>
                    <w:rPr>
                      <w:szCs w:val="21"/>
                      <w:lang w:val="zh-CN"/>
                    </w:rPr>
                    <w:t>正常</w:t>
                  </w:r>
                </w:p>
                <w:p>
                  <w:pPr>
                    <w:jc w:val="center"/>
                    <w:rPr>
                      <w:szCs w:val="21"/>
                    </w:rPr>
                  </w:pPr>
                  <w:r>
                    <w:rPr>
                      <w:rFonts w:hint="eastAsia"/>
                      <w:szCs w:val="21"/>
                    </w:rPr>
                    <w:t>排放</w:t>
                  </w:r>
                </w:p>
              </w:tc>
              <w:tc>
                <w:tcPr>
                  <w:tcW w:w="870" w:type="dxa"/>
                  <w:vAlign w:val="center"/>
                </w:tcPr>
                <w:p>
                  <w:pPr>
                    <w:jc w:val="center"/>
                    <w:rPr>
                      <w:szCs w:val="21"/>
                    </w:rPr>
                  </w:pPr>
                  <w:r>
                    <w:rPr>
                      <w:rFonts w:hint="eastAsia"/>
                      <w:bCs/>
                      <w:sz w:val="21"/>
                      <w:szCs w:val="21"/>
                    </w:rPr>
                    <w:t>TSP</w:t>
                  </w:r>
                </w:p>
              </w:tc>
              <w:tc>
                <w:tcPr>
                  <w:tcW w:w="1075" w:type="dxa"/>
                  <w:vAlign w:val="center"/>
                </w:tcPr>
                <w:p>
                  <w:pPr>
                    <w:jc w:val="center"/>
                    <w:rPr>
                      <w:rFonts w:hint="default" w:eastAsia="宋体"/>
                      <w:color w:val="FF0000"/>
                      <w:szCs w:val="21"/>
                      <w:lang w:val="en-US" w:eastAsia="zh-CN"/>
                    </w:rPr>
                  </w:pPr>
                  <w:r>
                    <w:rPr>
                      <w:rFonts w:hint="eastAsia"/>
                      <w:color w:val="FF0000"/>
                      <w:szCs w:val="21"/>
                    </w:rPr>
                    <w:t>0.</w:t>
                  </w:r>
                  <w:r>
                    <w:rPr>
                      <w:rFonts w:hint="eastAsia"/>
                      <w:color w:val="FF0000"/>
                      <w:szCs w:val="21"/>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6" w:hRule="atLeast"/>
                <w:jc w:val="center"/>
              </w:trPr>
              <w:tc>
                <w:tcPr>
                  <w:tcW w:w="480" w:type="dxa"/>
                  <w:vAlign w:val="center"/>
                </w:tcPr>
                <w:p>
                  <w:pPr>
                    <w:jc w:val="center"/>
                    <w:rPr>
                      <w:szCs w:val="21"/>
                      <w:lang w:val="zh-CN"/>
                    </w:rPr>
                  </w:pPr>
                  <w:r>
                    <w:rPr>
                      <w:szCs w:val="21"/>
                      <w:lang w:val="zh-CN"/>
                    </w:rPr>
                    <w:t>2</w:t>
                  </w:r>
                </w:p>
              </w:tc>
              <w:tc>
                <w:tcPr>
                  <w:tcW w:w="717" w:type="dxa"/>
                  <w:vMerge w:val="restart"/>
                  <w:vAlign w:val="center"/>
                </w:tcPr>
                <w:p>
                  <w:pPr>
                    <w:jc w:val="center"/>
                    <w:rPr>
                      <w:szCs w:val="21"/>
                      <w:lang w:val="zh-CN"/>
                    </w:rPr>
                  </w:pPr>
                  <w:r>
                    <w:rPr>
                      <w:rFonts w:hint="eastAsia"/>
                      <w:szCs w:val="21"/>
                      <w:lang w:val="en-US" w:eastAsia="zh-CN"/>
                    </w:rPr>
                    <w:t>G</w:t>
                  </w:r>
                  <w:r>
                    <w:rPr>
                      <w:rFonts w:hint="eastAsia"/>
                      <w:szCs w:val="21"/>
                    </w:rPr>
                    <w:t>2</w:t>
                  </w:r>
                </w:p>
              </w:tc>
              <w:tc>
                <w:tcPr>
                  <w:tcW w:w="530" w:type="dxa"/>
                  <w:vMerge w:val="restart"/>
                  <w:vAlign w:val="center"/>
                </w:tcPr>
                <w:p>
                  <w:pPr>
                    <w:jc w:val="center"/>
                    <w:rPr>
                      <w:szCs w:val="21"/>
                    </w:rPr>
                  </w:pPr>
                  <w:r>
                    <w:rPr>
                      <w:rFonts w:hint="eastAsia"/>
                      <w:szCs w:val="21"/>
                    </w:rPr>
                    <w:t>-22</w:t>
                  </w:r>
                </w:p>
              </w:tc>
              <w:tc>
                <w:tcPr>
                  <w:tcW w:w="592" w:type="dxa"/>
                  <w:vMerge w:val="restart"/>
                  <w:vAlign w:val="center"/>
                </w:tcPr>
                <w:p>
                  <w:pPr>
                    <w:jc w:val="center"/>
                    <w:rPr>
                      <w:szCs w:val="21"/>
                    </w:rPr>
                  </w:pPr>
                  <w:r>
                    <w:rPr>
                      <w:rFonts w:hint="eastAsia"/>
                      <w:szCs w:val="21"/>
                    </w:rPr>
                    <w:t>0</w:t>
                  </w:r>
                </w:p>
              </w:tc>
              <w:tc>
                <w:tcPr>
                  <w:tcW w:w="656" w:type="dxa"/>
                  <w:vMerge w:val="restart"/>
                  <w:vAlign w:val="center"/>
                </w:tcPr>
                <w:p>
                  <w:pPr>
                    <w:jc w:val="center"/>
                    <w:rPr>
                      <w:rFonts w:hint="eastAsia" w:eastAsia="宋体"/>
                      <w:szCs w:val="21"/>
                      <w:lang w:val="en-US" w:eastAsia="zh-CN"/>
                    </w:rPr>
                  </w:pPr>
                  <w:r>
                    <w:rPr>
                      <w:rFonts w:hint="eastAsia"/>
                      <w:szCs w:val="21"/>
                      <w:lang w:val="en-US" w:eastAsia="zh-CN"/>
                    </w:rPr>
                    <w:t>0</w:t>
                  </w:r>
                </w:p>
              </w:tc>
              <w:tc>
                <w:tcPr>
                  <w:tcW w:w="658" w:type="dxa"/>
                  <w:vMerge w:val="restart"/>
                  <w:vAlign w:val="center"/>
                </w:tcPr>
                <w:p>
                  <w:pPr>
                    <w:jc w:val="center"/>
                    <w:rPr>
                      <w:rFonts w:hint="default" w:eastAsia="宋体"/>
                      <w:szCs w:val="21"/>
                      <w:lang w:val="en-US" w:eastAsia="zh-CN"/>
                    </w:rPr>
                  </w:pPr>
                  <w:r>
                    <w:rPr>
                      <w:rFonts w:hint="eastAsia"/>
                      <w:szCs w:val="21"/>
                      <w:lang w:val="en-US" w:eastAsia="zh-CN"/>
                    </w:rPr>
                    <w:t>15</w:t>
                  </w:r>
                </w:p>
              </w:tc>
              <w:tc>
                <w:tcPr>
                  <w:tcW w:w="657" w:type="dxa"/>
                  <w:vMerge w:val="restart"/>
                  <w:vAlign w:val="center"/>
                </w:tcPr>
                <w:p>
                  <w:pPr>
                    <w:jc w:val="center"/>
                    <w:rPr>
                      <w:rFonts w:hint="default" w:eastAsia="宋体"/>
                      <w:szCs w:val="21"/>
                      <w:lang w:val="en-US" w:eastAsia="zh-CN"/>
                    </w:rPr>
                  </w:pPr>
                  <w:r>
                    <w:rPr>
                      <w:rFonts w:hint="eastAsia"/>
                      <w:szCs w:val="21"/>
                      <w:lang w:val="en-US" w:eastAsia="zh-CN"/>
                    </w:rPr>
                    <w:t>0.5</w:t>
                  </w:r>
                </w:p>
              </w:tc>
              <w:tc>
                <w:tcPr>
                  <w:tcW w:w="725" w:type="dxa"/>
                  <w:vMerge w:val="restart"/>
                  <w:vAlign w:val="center"/>
                </w:tcPr>
                <w:p>
                  <w:pPr>
                    <w:jc w:val="center"/>
                    <w:rPr>
                      <w:szCs w:val="21"/>
                    </w:rPr>
                  </w:pPr>
                  <w:r>
                    <w:rPr>
                      <w:rFonts w:hint="eastAsia"/>
                      <w:szCs w:val="21"/>
                    </w:rPr>
                    <w:t>12.55</w:t>
                  </w:r>
                </w:p>
              </w:tc>
              <w:tc>
                <w:tcPr>
                  <w:tcW w:w="495" w:type="dxa"/>
                  <w:vMerge w:val="restart"/>
                  <w:vAlign w:val="center"/>
                </w:tcPr>
                <w:p>
                  <w:pPr>
                    <w:jc w:val="center"/>
                    <w:rPr>
                      <w:rFonts w:hint="default" w:eastAsia="宋体"/>
                      <w:szCs w:val="21"/>
                      <w:lang w:val="en-US" w:eastAsia="zh-CN"/>
                    </w:rPr>
                  </w:pPr>
                  <w:r>
                    <w:rPr>
                      <w:rFonts w:hint="eastAsia"/>
                      <w:szCs w:val="21"/>
                      <w:lang w:val="en-US" w:eastAsia="zh-CN"/>
                    </w:rPr>
                    <w:t>50</w:t>
                  </w:r>
                </w:p>
              </w:tc>
              <w:tc>
                <w:tcPr>
                  <w:tcW w:w="680" w:type="dxa"/>
                  <w:vMerge w:val="restart"/>
                  <w:vAlign w:val="center"/>
                </w:tcPr>
                <w:p>
                  <w:pPr>
                    <w:jc w:val="center"/>
                    <w:rPr>
                      <w:szCs w:val="21"/>
                      <w:lang w:val="zh-CN"/>
                    </w:rPr>
                  </w:pPr>
                  <w:r>
                    <w:rPr>
                      <w:szCs w:val="21"/>
                      <w:lang w:val="zh-CN"/>
                    </w:rPr>
                    <w:t>2400</w:t>
                  </w:r>
                </w:p>
              </w:tc>
              <w:tc>
                <w:tcPr>
                  <w:tcW w:w="420" w:type="dxa"/>
                  <w:vMerge w:val="continue"/>
                  <w:vAlign w:val="center"/>
                </w:tcPr>
                <w:p>
                  <w:pPr>
                    <w:jc w:val="center"/>
                    <w:rPr>
                      <w:szCs w:val="21"/>
                    </w:rPr>
                  </w:pPr>
                </w:p>
              </w:tc>
              <w:tc>
                <w:tcPr>
                  <w:tcW w:w="870" w:type="dxa"/>
                  <w:vAlign w:val="center"/>
                </w:tcPr>
                <w:p>
                  <w:pPr>
                    <w:jc w:val="center"/>
                    <w:rPr>
                      <w:kern w:val="0"/>
                      <w:szCs w:val="21"/>
                    </w:rPr>
                  </w:pPr>
                  <w:r>
                    <w:rPr>
                      <w:kern w:val="0"/>
                      <w:szCs w:val="21"/>
                    </w:rPr>
                    <w:t>VOCs</w:t>
                  </w:r>
                </w:p>
              </w:tc>
              <w:tc>
                <w:tcPr>
                  <w:tcW w:w="1075" w:type="dxa"/>
                  <w:vAlign w:val="center"/>
                </w:tcPr>
                <w:p>
                  <w:pPr>
                    <w:jc w:val="center"/>
                    <w:rPr>
                      <w:rFonts w:hint="eastAsia" w:eastAsia="宋体"/>
                      <w:color w:val="FF0000"/>
                      <w:szCs w:val="21"/>
                      <w:lang w:eastAsia="zh-CN"/>
                    </w:rPr>
                  </w:pPr>
                  <w:r>
                    <w:rPr>
                      <w:color w:val="FF0000"/>
                      <w:szCs w:val="21"/>
                    </w:rPr>
                    <w:t>0.00</w:t>
                  </w:r>
                  <w:r>
                    <w:rPr>
                      <w:rFonts w:hint="eastAsia"/>
                      <w:color w:val="FF0000"/>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6" w:hRule="atLeast"/>
                <w:jc w:val="center"/>
              </w:trPr>
              <w:tc>
                <w:tcPr>
                  <w:tcW w:w="480" w:type="dxa"/>
                  <w:vAlign w:val="center"/>
                </w:tcPr>
                <w:p>
                  <w:pPr>
                    <w:jc w:val="center"/>
                    <w:rPr>
                      <w:szCs w:val="21"/>
                      <w:lang w:val="zh-CN"/>
                    </w:rPr>
                  </w:pPr>
                  <w:r>
                    <w:rPr>
                      <w:rFonts w:hint="eastAsia"/>
                      <w:szCs w:val="21"/>
                    </w:rPr>
                    <w:t>3</w:t>
                  </w:r>
                </w:p>
              </w:tc>
              <w:tc>
                <w:tcPr>
                  <w:tcW w:w="717" w:type="dxa"/>
                  <w:vMerge w:val="continue"/>
                  <w:tcBorders/>
                  <w:vAlign w:val="center"/>
                </w:tcPr>
                <w:p>
                  <w:pPr>
                    <w:jc w:val="center"/>
                    <w:rPr>
                      <w:rFonts w:hint="eastAsia"/>
                      <w:szCs w:val="21"/>
                    </w:rPr>
                  </w:pPr>
                </w:p>
              </w:tc>
              <w:tc>
                <w:tcPr>
                  <w:tcW w:w="530" w:type="dxa"/>
                  <w:vMerge w:val="continue"/>
                  <w:tcBorders/>
                  <w:vAlign w:val="center"/>
                </w:tcPr>
                <w:p>
                  <w:pPr>
                    <w:jc w:val="center"/>
                    <w:rPr>
                      <w:rFonts w:hint="eastAsia"/>
                      <w:szCs w:val="21"/>
                    </w:rPr>
                  </w:pPr>
                </w:p>
              </w:tc>
              <w:tc>
                <w:tcPr>
                  <w:tcW w:w="592" w:type="dxa"/>
                  <w:vMerge w:val="continue"/>
                  <w:tcBorders/>
                  <w:vAlign w:val="center"/>
                </w:tcPr>
                <w:p>
                  <w:pPr>
                    <w:jc w:val="center"/>
                    <w:rPr>
                      <w:rFonts w:hint="eastAsia"/>
                      <w:szCs w:val="21"/>
                    </w:rPr>
                  </w:pPr>
                </w:p>
              </w:tc>
              <w:tc>
                <w:tcPr>
                  <w:tcW w:w="656" w:type="dxa"/>
                  <w:vMerge w:val="continue"/>
                  <w:tcBorders/>
                  <w:vAlign w:val="center"/>
                </w:tcPr>
                <w:p>
                  <w:pPr>
                    <w:jc w:val="center"/>
                    <w:rPr>
                      <w:szCs w:val="21"/>
                      <w:lang w:val="zh-CN"/>
                    </w:rPr>
                  </w:pPr>
                </w:p>
              </w:tc>
              <w:tc>
                <w:tcPr>
                  <w:tcW w:w="658" w:type="dxa"/>
                  <w:vMerge w:val="continue"/>
                  <w:tcBorders/>
                  <w:vAlign w:val="center"/>
                </w:tcPr>
                <w:p>
                  <w:pPr>
                    <w:jc w:val="center"/>
                    <w:rPr>
                      <w:szCs w:val="21"/>
                      <w:lang w:val="zh-CN"/>
                    </w:rPr>
                  </w:pPr>
                </w:p>
              </w:tc>
              <w:tc>
                <w:tcPr>
                  <w:tcW w:w="657" w:type="dxa"/>
                  <w:vMerge w:val="continue"/>
                  <w:tcBorders/>
                  <w:vAlign w:val="center"/>
                </w:tcPr>
                <w:p>
                  <w:pPr>
                    <w:jc w:val="center"/>
                    <w:rPr>
                      <w:rFonts w:hint="eastAsia"/>
                      <w:szCs w:val="21"/>
                      <w:lang w:val="zh-CN"/>
                    </w:rPr>
                  </w:pPr>
                </w:p>
              </w:tc>
              <w:tc>
                <w:tcPr>
                  <w:tcW w:w="725" w:type="dxa"/>
                  <w:vMerge w:val="continue"/>
                  <w:tcBorders/>
                  <w:vAlign w:val="center"/>
                </w:tcPr>
                <w:p>
                  <w:pPr>
                    <w:jc w:val="center"/>
                    <w:rPr>
                      <w:rFonts w:hint="eastAsia"/>
                      <w:szCs w:val="21"/>
                    </w:rPr>
                  </w:pPr>
                </w:p>
              </w:tc>
              <w:tc>
                <w:tcPr>
                  <w:tcW w:w="495" w:type="dxa"/>
                  <w:vMerge w:val="continue"/>
                  <w:tcBorders/>
                  <w:vAlign w:val="center"/>
                </w:tcPr>
                <w:p>
                  <w:pPr>
                    <w:jc w:val="center"/>
                    <w:rPr>
                      <w:rFonts w:hint="eastAsia"/>
                      <w:szCs w:val="21"/>
                      <w:lang w:val="zh-CN"/>
                    </w:rPr>
                  </w:pPr>
                </w:p>
              </w:tc>
              <w:tc>
                <w:tcPr>
                  <w:tcW w:w="680" w:type="dxa"/>
                  <w:vMerge w:val="continue"/>
                  <w:tcBorders/>
                  <w:vAlign w:val="center"/>
                </w:tcPr>
                <w:p>
                  <w:pPr>
                    <w:jc w:val="center"/>
                    <w:rPr>
                      <w:szCs w:val="21"/>
                      <w:lang w:val="zh-CN"/>
                    </w:rPr>
                  </w:pPr>
                </w:p>
              </w:tc>
              <w:tc>
                <w:tcPr>
                  <w:tcW w:w="420" w:type="dxa"/>
                  <w:vMerge w:val="continue"/>
                  <w:vAlign w:val="center"/>
                </w:tcPr>
                <w:p>
                  <w:pPr>
                    <w:jc w:val="center"/>
                    <w:rPr>
                      <w:szCs w:val="21"/>
                    </w:rPr>
                  </w:pPr>
                </w:p>
              </w:tc>
              <w:tc>
                <w:tcPr>
                  <w:tcW w:w="870" w:type="dxa"/>
                  <w:vAlign w:val="center"/>
                </w:tcPr>
                <w:p>
                  <w:pPr>
                    <w:jc w:val="center"/>
                    <w:rPr>
                      <w:color w:val="FF0000"/>
                      <w:kern w:val="0"/>
                      <w:szCs w:val="21"/>
                    </w:rPr>
                  </w:pPr>
                  <w:r>
                    <w:rPr>
                      <w:rFonts w:hint="eastAsia"/>
                      <w:bCs/>
                      <w:color w:val="FF0000"/>
                      <w:sz w:val="21"/>
                      <w:szCs w:val="21"/>
                    </w:rPr>
                    <w:t>TSP</w:t>
                  </w:r>
                </w:p>
              </w:tc>
              <w:tc>
                <w:tcPr>
                  <w:tcW w:w="1075" w:type="dxa"/>
                  <w:vAlign w:val="center"/>
                </w:tcPr>
                <w:p>
                  <w:pPr>
                    <w:jc w:val="center"/>
                    <w:rPr>
                      <w:color w:val="FF0000"/>
                      <w:szCs w:val="21"/>
                    </w:rPr>
                  </w:pPr>
                  <w:r>
                    <w:rPr>
                      <w:rFonts w:hint="default" w:ascii="Times New Roman" w:hAnsi="Times New Roman" w:eastAsia="宋体" w:cs="Times New Roman"/>
                      <w:i w:val="0"/>
                      <w:color w:val="FF0000"/>
                      <w:kern w:val="0"/>
                      <w:sz w:val="21"/>
                      <w:szCs w:val="21"/>
                      <w:u w:val="none"/>
                      <w:lang w:val="en-US" w:eastAsia="zh-CN" w:bidi="ar"/>
                    </w:rPr>
                    <w:t>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jc w:val="center"/>
              </w:trPr>
              <w:tc>
                <w:tcPr>
                  <w:tcW w:w="480" w:type="dxa"/>
                  <w:vAlign w:val="center"/>
                </w:tcPr>
                <w:p>
                  <w:pPr>
                    <w:jc w:val="center"/>
                    <w:rPr>
                      <w:szCs w:val="21"/>
                    </w:rPr>
                  </w:pPr>
                  <w:r>
                    <w:rPr>
                      <w:rFonts w:hint="eastAsia"/>
                      <w:szCs w:val="21"/>
                    </w:rPr>
                    <w:t>4</w:t>
                  </w:r>
                </w:p>
              </w:tc>
              <w:tc>
                <w:tcPr>
                  <w:tcW w:w="717" w:type="dxa"/>
                  <w:vMerge w:val="continue"/>
                  <w:tcBorders/>
                  <w:vAlign w:val="center"/>
                </w:tcPr>
                <w:p>
                  <w:pPr>
                    <w:jc w:val="center"/>
                    <w:rPr>
                      <w:szCs w:val="21"/>
                      <w:lang w:val="zh-CN"/>
                    </w:rPr>
                  </w:pPr>
                </w:p>
              </w:tc>
              <w:tc>
                <w:tcPr>
                  <w:tcW w:w="530" w:type="dxa"/>
                  <w:vMerge w:val="continue"/>
                  <w:tcBorders/>
                  <w:vAlign w:val="center"/>
                </w:tcPr>
                <w:p>
                  <w:pPr>
                    <w:jc w:val="center"/>
                    <w:rPr>
                      <w:szCs w:val="21"/>
                    </w:rPr>
                  </w:pPr>
                </w:p>
              </w:tc>
              <w:tc>
                <w:tcPr>
                  <w:tcW w:w="592" w:type="dxa"/>
                  <w:vMerge w:val="continue"/>
                  <w:tcBorders/>
                  <w:vAlign w:val="center"/>
                </w:tcPr>
                <w:p>
                  <w:pPr>
                    <w:jc w:val="center"/>
                    <w:rPr>
                      <w:szCs w:val="21"/>
                    </w:rPr>
                  </w:pPr>
                </w:p>
              </w:tc>
              <w:tc>
                <w:tcPr>
                  <w:tcW w:w="656" w:type="dxa"/>
                  <w:vMerge w:val="continue"/>
                  <w:tcBorders/>
                  <w:vAlign w:val="center"/>
                </w:tcPr>
                <w:p>
                  <w:pPr>
                    <w:jc w:val="center"/>
                    <w:rPr>
                      <w:szCs w:val="21"/>
                      <w:lang w:val="zh-CN"/>
                    </w:rPr>
                  </w:pPr>
                </w:p>
              </w:tc>
              <w:tc>
                <w:tcPr>
                  <w:tcW w:w="658" w:type="dxa"/>
                  <w:vMerge w:val="continue"/>
                  <w:tcBorders/>
                  <w:vAlign w:val="center"/>
                </w:tcPr>
                <w:p>
                  <w:pPr>
                    <w:jc w:val="center"/>
                    <w:rPr>
                      <w:szCs w:val="21"/>
                    </w:rPr>
                  </w:pPr>
                </w:p>
              </w:tc>
              <w:tc>
                <w:tcPr>
                  <w:tcW w:w="657" w:type="dxa"/>
                  <w:vMerge w:val="continue"/>
                  <w:tcBorders/>
                  <w:vAlign w:val="center"/>
                </w:tcPr>
                <w:p>
                  <w:pPr>
                    <w:jc w:val="center"/>
                    <w:rPr>
                      <w:szCs w:val="21"/>
                    </w:rPr>
                  </w:pPr>
                </w:p>
              </w:tc>
              <w:tc>
                <w:tcPr>
                  <w:tcW w:w="725" w:type="dxa"/>
                  <w:vMerge w:val="continue"/>
                  <w:tcBorders/>
                  <w:vAlign w:val="center"/>
                </w:tcPr>
                <w:p>
                  <w:pPr>
                    <w:jc w:val="center"/>
                    <w:rPr>
                      <w:szCs w:val="21"/>
                    </w:rPr>
                  </w:pPr>
                </w:p>
              </w:tc>
              <w:tc>
                <w:tcPr>
                  <w:tcW w:w="495" w:type="dxa"/>
                  <w:vMerge w:val="continue"/>
                  <w:tcBorders/>
                  <w:vAlign w:val="center"/>
                </w:tcPr>
                <w:p>
                  <w:pPr>
                    <w:jc w:val="center"/>
                    <w:rPr>
                      <w:szCs w:val="21"/>
                    </w:rPr>
                  </w:pPr>
                </w:p>
              </w:tc>
              <w:tc>
                <w:tcPr>
                  <w:tcW w:w="680" w:type="dxa"/>
                  <w:vMerge w:val="continue"/>
                  <w:tcBorders/>
                  <w:vAlign w:val="center"/>
                </w:tcPr>
                <w:p>
                  <w:pPr>
                    <w:jc w:val="center"/>
                    <w:rPr>
                      <w:szCs w:val="21"/>
                      <w:lang w:val="zh-CN"/>
                    </w:rPr>
                  </w:pPr>
                </w:p>
              </w:tc>
              <w:tc>
                <w:tcPr>
                  <w:tcW w:w="420" w:type="dxa"/>
                  <w:vMerge w:val="continue"/>
                  <w:vAlign w:val="center"/>
                </w:tcPr>
                <w:p>
                  <w:pPr>
                    <w:jc w:val="center"/>
                    <w:rPr>
                      <w:szCs w:val="21"/>
                      <w:lang w:val="zh-CN"/>
                    </w:rPr>
                  </w:pPr>
                </w:p>
              </w:tc>
              <w:tc>
                <w:tcPr>
                  <w:tcW w:w="870" w:type="dxa"/>
                  <w:vAlign w:val="center"/>
                </w:tcPr>
                <w:p>
                  <w:pPr>
                    <w:jc w:val="center"/>
                    <w:rPr>
                      <w:szCs w:val="21"/>
                      <w:lang w:val="zh-CN"/>
                    </w:rPr>
                  </w:pPr>
                  <w:r>
                    <w:rPr>
                      <w:kern w:val="0"/>
                      <w:szCs w:val="21"/>
                    </w:rPr>
                    <w:t>SO</w:t>
                  </w:r>
                  <w:r>
                    <w:rPr>
                      <w:kern w:val="0"/>
                      <w:szCs w:val="21"/>
                      <w:vertAlign w:val="subscript"/>
                    </w:rPr>
                    <w:t>2</w:t>
                  </w:r>
                </w:p>
              </w:tc>
              <w:tc>
                <w:tcPr>
                  <w:tcW w:w="1075" w:type="dxa"/>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color w:val="FF0000"/>
                      <w:kern w:val="0"/>
                      <w:sz w:val="21"/>
                      <w:szCs w:val="21"/>
                      <w:u w:val="none"/>
                      <w:lang w:val="en-US" w:eastAsia="zh-CN" w:bidi="ar"/>
                    </w:rPr>
                    <w:t xml:space="preserve">0.000002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6" w:hRule="atLeast"/>
                <w:jc w:val="center"/>
              </w:trPr>
              <w:tc>
                <w:tcPr>
                  <w:tcW w:w="480" w:type="dxa"/>
                  <w:vAlign w:val="center"/>
                </w:tcPr>
                <w:p>
                  <w:pPr>
                    <w:jc w:val="center"/>
                    <w:rPr>
                      <w:rFonts w:hint="eastAsia" w:eastAsia="宋体"/>
                      <w:szCs w:val="21"/>
                      <w:lang w:val="en-US" w:eastAsia="zh-CN"/>
                    </w:rPr>
                  </w:pPr>
                  <w:r>
                    <w:rPr>
                      <w:rFonts w:hint="eastAsia"/>
                      <w:szCs w:val="21"/>
                      <w:lang w:val="en-US" w:eastAsia="zh-CN"/>
                    </w:rPr>
                    <w:t>5</w:t>
                  </w:r>
                </w:p>
              </w:tc>
              <w:tc>
                <w:tcPr>
                  <w:tcW w:w="717" w:type="dxa"/>
                  <w:vMerge w:val="continue"/>
                  <w:tcBorders/>
                  <w:vAlign w:val="center"/>
                </w:tcPr>
                <w:p>
                  <w:pPr>
                    <w:jc w:val="center"/>
                    <w:rPr>
                      <w:szCs w:val="21"/>
                      <w:lang w:val="zh-CN"/>
                    </w:rPr>
                  </w:pPr>
                </w:p>
              </w:tc>
              <w:tc>
                <w:tcPr>
                  <w:tcW w:w="530" w:type="dxa"/>
                  <w:vMerge w:val="continue"/>
                  <w:tcBorders/>
                  <w:vAlign w:val="center"/>
                </w:tcPr>
                <w:p>
                  <w:pPr>
                    <w:jc w:val="center"/>
                    <w:rPr>
                      <w:szCs w:val="21"/>
                      <w:lang w:val="zh-CN"/>
                    </w:rPr>
                  </w:pPr>
                </w:p>
              </w:tc>
              <w:tc>
                <w:tcPr>
                  <w:tcW w:w="592" w:type="dxa"/>
                  <w:vMerge w:val="continue"/>
                  <w:tcBorders/>
                  <w:vAlign w:val="center"/>
                </w:tcPr>
                <w:p>
                  <w:pPr>
                    <w:jc w:val="center"/>
                    <w:rPr>
                      <w:szCs w:val="21"/>
                      <w:lang w:val="zh-CN"/>
                    </w:rPr>
                  </w:pPr>
                </w:p>
              </w:tc>
              <w:tc>
                <w:tcPr>
                  <w:tcW w:w="656" w:type="dxa"/>
                  <w:vMerge w:val="continue"/>
                  <w:tcBorders/>
                  <w:vAlign w:val="center"/>
                </w:tcPr>
                <w:p>
                  <w:pPr>
                    <w:jc w:val="center"/>
                    <w:rPr>
                      <w:szCs w:val="21"/>
                      <w:lang w:val="zh-CN"/>
                    </w:rPr>
                  </w:pPr>
                </w:p>
              </w:tc>
              <w:tc>
                <w:tcPr>
                  <w:tcW w:w="658" w:type="dxa"/>
                  <w:vMerge w:val="continue"/>
                  <w:tcBorders/>
                  <w:vAlign w:val="center"/>
                </w:tcPr>
                <w:p>
                  <w:pPr>
                    <w:jc w:val="center"/>
                    <w:rPr>
                      <w:szCs w:val="21"/>
                    </w:rPr>
                  </w:pPr>
                </w:p>
              </w:tc>
              <w:tc>
                <w:tcPr>
                  <w:tcW w:w="657" w:type="dxa"/>
                  <w:vMerge w:val="continue"/>
                  <w:tcBorders/>
                  <w:vAlign w:val="center"/>
                </w:tcPr>
                <w:p>
                  <w:pPr>
                    <w:jc w:val="center"/>
                    <w:rPr>
                      <w:szCs w:val="21"/>
                    </w:rPr>
                  </w:pPr>
                </w:p>
              </w:tc>
              <w:tc>
                <w:tcPr>
                  <w:tcW w:w="725" w:type="dxa"/>
                  <w:vMerge w:val="continue"/>
                  <w:tcBorders/>
                  <w:vAlign w:val="center"/>
                </w:tcPr>
                <w:p>
                  <w:pPr>
                    <w:jc w:val="center"/>
                    <w:rPr>
                      <w:szCs w:val="21"/>
                    </w:rPr>
                  </w:pPr>
                </w:p>
              </w:tc>
              <w:tc>
                <w:tcPr>
                  <w:tcW w:w="495" w:type="dxa"/>
                  <w:vMerge w:val="continue"/>
                  <w:tcBorders/>
                  <w:vAlign w:val="center"/>
                </w:tcPr>
                <w:p>
                  <w:pPr>
                    <w:jc w:val="center"/>
                    <w:rPr>
                      <w:szCs w:val="21"/>
                    </w:rPr>
                  </w:pPr>
                </w:p>
              </w:tc>
              <w:tc>
                <w:tcPr>
                  <w:tcW w:w="680" w:type="dxa"/>
                  <w:vMerge w:val="continue"/>
                  <w:tcBorders/>
                  <w:vAlign w:val="center"/>
                </w:tcPr>
                <w:p>
                  <w:pPr>
                    <w:jc w:val="center"/>
                    <w:rPr>
                      <w:szCs w:val="21"/>
                      <w:lang w:val="zh-CN"/>
                    </w:rPr>
                  </w:pPr>
                </w:p>
              </w:tc>
              <w:tc>
                <w:tcPr>
                  <w:tcW w:w="420" w:type="dxa"/>
                  <w:vMerge w:val="continue"/>
                  <w:vAlign w:val="center"/>
                </w:tcPr>
                <w:p>
                  <w:pPr>
                    <w:jc w:val="center"/>
                    <w:rPr>
                      <w:szCs w:val="21"/>
                      <w:lang w:val="zh-CN"/>
                    </w:rPr>
                  </w:pPr>
                </w:p>
              </w:tc>
              <w:tc>
                <w:tcPr>
                  <w:tcW w:w="870" w:type="dxa"/>
                  <w:vAlign w:val="center"/>
                </w:tcPr>
                <w:p>
                  <w:pPr>
                    <w:jc w:val="center"/>
                    <w:rPr>
                      <w:szCs w:val="21"/>
                      <w:lang w:val="zh-CN"/>
                    </w:rPr>
                  </w:pPr>
                  <w:r>
                    <w:rPr>
                      <w:kern w:val="0"/>
                      <w:szCs w:val="21"/>
                    </w:rPr>
                    <w:t>NO</w:t>
                  </w:r>
                  <w:r>
                    <w:rPr>
                      <w:kern w:val="0"/>
                      <w:szCs w:val="21"/>
                      <w:vertAlign w:val="subscript"/>
                    </w:rPr>
                    <w:t>X</w:t>
                  </w:r>
                </w:p>
              </w:tc>
              <w:tc>
                <w:tcPr>
                  <w:tcW w:w="1075" w:type="dxa"/>
                  <w:vAlign w:val="center"/>
                </w:tcPr>
                <w:p>
                  <w:pPr>
                    <w:keepNext w:val="0"/>
                    <w:keepLines w:val="0"/>
                    <w:widowControl/>
                    <w:suppressLineNumbers w:val="0"/>
                    <w:jc w:val="center"/>
                    <w:textAlignment w:val="center"/>
                    <w:rPr>
                      <w:color w:val="FF0000"/>
                      <w:szCs w:val="21"/>
                    </w:rPr>
                  </w:pPr>
                  <w:r>
                    <w:rPr>
                      <w:rFonts w:hint="default" w:ascii="Times New Roman" w:hAnsi="Times New Roman" w:eastAsia="宋体" w:cs="Times New Roman"/>
                      <w:i w:val="0"/>
                      <w:color w:val="FF0000"/>
                      <w:kern w:val="0"/>
                      <w:sz w:val="21"/>
                      <w:szCs w:val="21"/>
                      <w:u w:val="none"/>
                      <w:lang w:val="en-US" w:eastAsia="zh-CN" w:bidi="ar"/>
                    </w:rPr>
                    <w:t xml:space="preserve">0.0013 </w:t>
                  </w:r>
                </w:p>
              </w:tc>
            </w:tr>
          </w:tbl>
          <w:p>
            <w:pPr>
              <w:pStyle w:val="7"/>
              <w:spacing w:line="360" w:lineRule="auto"/>
              <w:jc w:val="center"/>
              <w:rPr>
                <w:b/>
                <w:bCs/>
                <w:sz w:val="21"/>
                <w:szCs w:val="21"/>
              </w:rPr>
            </w:pPr>
            <w:r>
              <w:rPr>
                <w:b/>
                <w:bCs/>
                <w:sz w:val="21"/>
                <w:szCs w:val="21"/>
              </w:rPr>
              <w:t>表</w:t>
            </w:r>
            <w:r>
              <w:rPr>
                <w:rFonts w:hint="eastAsia"/>
                <w:b/>
                <w:bCs/>
                <w:sz w:val="21"/>
                <w:szCs w:val="21"/>
              </w:rPr>
              <w:t xml:space="preserve">7-10 </w:t>
            </w:r>
            <w:r>
              <w:rPr>
                <w:b/>
                <w:bCs/>
                <w:sz w:val="21"/>
                <w:szCs w:val="21"/>
              </w:rPr>
              <w:t>本项目矩形面源参数表</w:t>
            </w:r>
          </w:p>
          <w:tbl>
            <w:tblPr>
              <w:tblStyle w:val="15"/>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7"/>
              <w:gridCol w:w="675"/>
              <w:gridCol w:w="1005"/>
              <w:gridCol w:w="885"/>
              <w:gridCol w:w="945"/>
              <w:gridCol w:w="1020"/>
              <w:gridCol w:w="780"/>
              <w:gridCol w:w="750"/>
              <w:gridCol w:w="825"/>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6" w:hRule="atLeast"/>
                <w:jc w:val="center"/>
              </w:trPr>
              <w:tc>
                <w:tcPr>
                  <w:tcW w:w="537" w:type="dxa"/>
                  <w:vAlign w:val="center"/>
                </w:tcPr>
                <w:p>
                  <w:pPr>
                    <w:jc w:val="center"/>
                    <w:rPr>
                      <w:szCs w:val="21"/>
                      <w:lang w:val="zh-CN"/>
                    </w:rPr>
                  </w:pPr>
                  <w:r>
                    <w:rPr>
                      <w:rFonts w:hint="eastAsia"/>
                      <w:szCs w:val="21"/>
                      <w:lang w:val="zh-CN"/>
                    </w:rPr>
                    <w:t>编号</w:t>
                  </w:r>
                </w:p>
              </w:tc>
              <w:tc>
                <w:tcPr>
                  <w:tcW w:w="675" w:type="dxa"/>
                  <w:vAlign w:val="center"/>
                </w:tcPr>
                <w:p>
                  <w:pPr>
                    <w:jc w:val="center"/>
                    <w:rPr>
                      <w:szCs w:val="21"/>
                      <w:lang w:val="zh-CN"/>
                    </w:rPr>
                  </w:pPr>
                  <w:r>
                    <w:rPr>
                      <w:rFonts w:hint="eastAsia"/>
                      <w:szCs w:val="21"/>
                      <w:lang w:val="zh-CN"/>
                    </w:rPr>
                    <w:t>名称</w:t>
                  </w:r>
                </w:p>
              </w:tc>
              <w:tc>
                <w:tcPr>
                  <w:tcW w:w="1005" w:type="dxa"/>
                  <w:vAlign w:val="center"/>
                </w:tcPr>
                <w:p>
                  <w:pPr>
                    <w:jc w:val="center"/>
                    <w:rPr>
                      <w:szCs w:val="21"/>
                      <w:lang w:val="zh-CN"/>
                    </w:rPr>
                  </w:pPr>
                  <w:r>
                    <w:rPr>
                      <w:rFonts w:hint="eastAsia" w:cs="宋体"/>
                      <w:kern w:val="0"/>
                      <w:szCs w:val="21"/>
                    </w:rPr>
                    <w:t>面源海拔高度/m</w:t>
                  </w:r>
                </w:p>
              </w:tc>
              <w:tc>
                <w:tcPr>
                  <w:tcW w:w="885" w:type="dxa"/>
                  <w:vAlign w:val="center"/>
                </w:tcPr>
                <w:p>
                  <w:pPr>
                    <w:jc w:val="center"/>
                    <w:rPr>
                      <w:szCs w:val="21"/>
                      <w:lang w:val="zh-CN"/>
                    </w:rPr>
                  </w:pPr>
                  <w:r>
                    <w:rPr>
                      <w:rFonts w:hint="eastAsia" w:cs="宋体"/>
                      <w:kern w:val="0"/>
                      <w:szCs w:val="21"/>
                    </w:rPr>
                    <w:t>面源长度/m</w:t>
                  </w:r>
                </w:p>
              </w:tc>
              <w:tc>
                <w:tcPr>
                  <w:tcW w:w="945" w:type="dxa"/>
                  <w:vAlign w:val="center"/>
                </w:tcPr>
                <w:p>
                  <w:pPr>
                    <w:jc w:val="center"/>
                    <w:rPr>
                      <w:szCs w:val="21"/>
                      <w:lang w:val="zh-CN"/>
                    </w:rPr>
                  </w:pPr>
                  <w:r>
                    <w:rPr>
                      <w:rFonts w:hint="eastAsia" w:cs="宋体"/>
                      <w:kern w:val="0"/>
                      <w:szCs w:val="21"/>
                    </w:rPr>
                    <w:t>面源宽度/m</w:t>
                  </w:r>
                </w:p>
              </w:tc>
              <w:tc>
                <w:tcPr>
                  <w:tcW w:w="1020" w:type="dxa"/>
                  <w:vAlign w:val="center"/>
                </w:tcPr>
                <w:p>
                  <w:pPr>
                    <w:jc w:val="center"/>
                    <w:rPr>
                      <w:szCs w:val="21"/>
                      <w:lang w:val="zh-CN"/>
                    </w:rPr>
                  </w:pPr>
                  <w:r>
                    <w:rPr>
                      <w:rFonts w:hint="eastAsia"/>
                      <w:szCs w:val="21"/>
                      <w:lang w:val="zh-CN"/>
                    </w:rPr>
                    <w:t>面源有效排放高度/m</w:t>
                  </w:r>
                </w:p>
              </w:tc>
              <w:tc>
                <w:tcPr>
                  <w:tcW w:w="780" w:type="dxa"/>
                  <w:vAlign w:val="center"/>
                </w:tcPr>
                <w:p>
                  <w:pPr>
                    <w:jc w:val="center"/>
                    <w:rPr>
                      <w:szCs w:val="21"/>
                      <w:lang w:val="zh-CN"/>
                    </w:rPr>
                  </w:pPr>
                  <w:r>
                    <w:rPr>
                      <w:rFonts w:hint="eastAsia"/>
                      <w:szCs w:val="21"/>
                      <w:lang w:val="zh-CN"/>
                    </w:rPr>
                    <w:t>年排放小时数</w:t>
                  </w:r>
                </w:p>
              </w:tc>
              <w:tc>
                <w:tcPr>
                  <w:tcW w:w="750" w:type="dxa"/>
                  <w:vAlign w:val="center"/>
                </w:tcPr>
                <w:p>
                  <w:pPr>
                    <w:jc w:val="center"/>
                    <w:rPr>
                      <w:szCs w:val="21"/>
                      <w:lang w:val="zh-CN"/>
                    </w:rPr>
                  </w:pPr>
                  <w:r>
                    <w:rPr>
                      <w:rFonts w:hint="eastAsia"/>
                      <w:szCs w:val="21"/>
                      <w:lang w:val="zh-CN"/>
                    </w:rPr>
                    <w:t>排放工况</w:t>
                  </w:r>
                </w:p>
              </w:tc>
              <w:tc>
                <w:tcPr>
                  <w:tcW w:w="825" w:type="dxa"/>
                  <w:vAlign w:val="center"/>
                </w:tcPr>
                <w:p>
                  <w:pPr>
                    <w:jc w:val="center"/>
                    <w:rPr>
                      <w:szCs w:val="21"/>
                      <w:lang w:val="zh-CN"/>
                    </w:rPr>
                  </w:pPr>
                  <w:r>
                    <w:rPr>
                      <w:szCs w:val="21"/>
                      <w:lang w:val="zh-CN"/>
                    </w:rPr>
                    <w:t>污染物</w:t>
                  </w:r>
                </w:p>
              </w:tc>
              <w:tc>
                <w:tcPr>
                  <w:tcW w:w="874" w:type="dxa"/>
                  <w:vAlign w:val="center"/>
                </w:tcPr>
                <w:p>
                  <w:pPr>
                    <w:jc w:val="center"/>
                    <w:rPr>
                      <w:szCs w:val="21"/>
                      <w:lang w:val="zh-CN"/>
                    </w:rPr>
                  </w:pPr>
                  <w:r>
                    <w:rPr>
                      <w:szCs w:val="21"/>
                      <w:lang w:val="zh-CN"/>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1" w:hRule="atLeast"/>
                <w:jc w:val="center"/>
              </w:trPr>
              <w:tc>
                <w:tcPr>
                  <w:tcW w:w="537" w:type="dxa"/>
                  <w:vAlign w:val="center"/>
                </w:tcPr>
                <w:p>
                  <w:pPr>
                    <w:jc w:val="center"/>
                    <w:rPr>
                      <w:szCs w:val="21"/>
                      <w:lang w:val="zh-CN"/>
                    </w:rPr>
                  </w:pPr>
                  <w:r>
                    <w:rPr>
                      <w:rFonts w:hint="eastAsia"/>
                      <w:szCs w:val="21"/>
                      <w:lang w:val="zh-CN"/>
                    </w:rPr>
                    <w:t>1</w:t>
                  </w:r>
                </w:p>
              </w:tc>
              <w:tc>
                <w:tcPr>
                  <w:tcW w:w="675" w:type="dxa"/>
                  <w:vAlign w:val="center"/>
                </w:tcPr>
                <w:p>
                  <w:pPr>
                    <w:spacing w:line="240" w:lineRule="auto"/>
                    <w:jc w:val="center"/>
                    <w:rPr>
                      <w:rFonts w:hint="default" w:eastAsia="宋体"/>
                      <w:szCs w:val="21"/>
                      <w:lang w:val="en-US" w:eastAsia="zh-CN"/>
                    </w:rPr>
                  </w:pPr>
                  <w:r>
                    <w:rPr>
                      <w:rFonts w:hint="eastAsia"/>
                      <w:color w:val="auto"/>
                      <w:sz w:val="21"/>
                      <w:szCs w:val="21"/>
                      <w:lang w:val="en-US" w:eastAsia="zh-CN"/>
                    </w:rPr>
                    <w:t>固化车间</w:t>
                  </w:r>
                  <w:r>
                    <w:rPr>
                      <w:color w:val="auto"/>
                      <w:sz w:val="21"/>
                      <w:szCs w:val="21"/>
                    </w:rPr>
                    <w:t>面源</w:t>
                  </w:r>
                </w:p>
              </w:tc>
              <w:tc>
                <w:tcPr>
                  <w:tcW w:w="1005" w:type="dxa"/>
                  <w:vAlign w:val="center"/>
                </w:tcPr>
                <w:p>
                  <w:pPr>
                    <w:jc w:val="center"/>
                    <w:rPr>
                      <w:szCs w:val="21"/>
                      <w:lang w:val="zh-CN"/>
                    </w:rPr>
                  </w:pPr>
                  <w:r>
                    <w:rPr>
                      <w:rFonts w:hint="eastAsia"/>
                      <w:szCs w:val="21"/>
                      <w:lang w:val="zh-CN"/>
                    </w:rPr>
                    <w:t>0</w:t>
                  </w:r>
                </w:p>
              </w:tc>
              <w:tc>
                <w:tcPr>
                  <w:tcW w:w="885" w:type="dxa"/>
                  <w:vAlign w:val="center"/>
                </w:tcPr>
                <w:p>
                  <w:pPr>
                    <w:jc w:val="center"/>
                    <w:rPr>
                      <w:szCs w:val="21"/>
                    </w:rPr>
                  </w:pPr>
                  <w:r>
                    <w:rPr>
                      <w:rFonts w:hint="eastAsia"/>
                      <w:szCs w:val="21"/>
                    </w:rPr>
                    <w:t>50</w:t>
                  </w:r>
                </w:p>
              </w:tc>
              <w:tc>
                <w:tcPr>
                  <w:tcW w:w="945" w:type="dxa"/>
                  <w:vAlign w:val="center"/>
                </w:tcPr>
                <w:p>
                  <w:pPr>
                    <w:jc w:val="center"/>
                    <w:rPr>
                      <w:szCs w:val="21"/>
                    </w:rPr>
                  </w:pPr>
                  <w:r>
                    <w:rPr>
                      <w:rFonts w:hint="eastAsia"/>
                      <w:szCs w:val="21"/>
                    </w:rPr>
                    <w:t>20</w:t>
                  </w:r>
                </w:p>
              </w:tc>
              <w:tc>
                <w:tcPr>
                  <w:tcW w:w="1020" w:type="dxa"/>
                  <w:vAlign w:val="center"/>
                </w:tcPr>
                <w:p>
                  <w:pPr>
                    <w:jc w:val="center"/>
                    <w:rPr>
                      <w:rFonts w:hint="eastAsia" w:eastAsia="宋体"/>
                      <w:szCs w:val="21"/>
                      <w:lang w:val="zh-CN" w:eastAsia="zh-CN"/>
                    </w:rPr>
                  </w:pPr>
                  <w:r>
                    <w:rPr>
                      <w:rFonts w:hint="eastAsia"/>
                      <w:szCs w:val="21"/>
                      <w:lang w:val="en-US" w:eastAsia="zh-CN"/>
                    </w:rPr>
                    <w:t>7</w:t>
                  </w:r>
                </w:p>
              </w:tc>
              <w:tc>
                <w:tcPr>
                  <w:tcW w:w="780" w:type="dxa"/>
                  <w:vAlign w:val="center"/>
                </w:tcPr>
                <w:p>
                  <w:pPr>
                    <w:jc w:val="center"/>
                    <w:rPr>
                      <w:szCs w:val="21"/>
                      <w:lang w:val="zh-CN"/>
                    </w:rPr>
                  </w:pPr>
                  <w:r>
                    <w:rPr>
                      <w:rFonts w:hint="eastAsia"/>
                      <w:szCs w:val="21"/>
                      <w:lang w:val="zh-CN"/>
                    </w:rPr>
                    <w:t>2400</w:t>
                  </w:r>
                </w:p>
              </w:tc>
              <w:tc>
                <w:tcPr>
                  <w:tcW w:w="750" w:type="dxa"/>
                  <w:vAlign w:val="center"/>
                </w:tcPr>
                <w:p>
                  <w:pPr>
                    <w:jc w:val="center"/>
                    <w:rPr>
                      <w:szCs w:val="21"/>
                      <w:lang w:val="zh-CN"/>
                    </w:rPr>
                  </w:pPr>
                  <w:r>
                    <w:rPr>
                      <w:rFonts w:hint="eastAsia"/>
                      <w:szCs w:val="21"/>
                      <w:lang w:val="zh-CN"/>
                    </w:rPr>
                    <w:t>正常</w:t>
                  </w:r>
                </w:p>
              </w:tc>
              <w:tc>
                <w:tcPr>
                  <w:tcW w:w="825" w:type="dxa"/>
                  <w:vAlign w:val="center"/>
                </w:tcPr>
                <w:p>
                  <w:pPr>
                    <w:jc w:val="center"/>
                    <w:rPr>
                      <w:szCs w:val="21"/>
                    </w:rPr>
                  </w:pPr>
                  <w:r>
                    <w:rPr>
                      <w:kern w:val="0"/>
                      <w:szCs w:val="21"/>
                    </w:rPr>
                    <w:t>VOCs</w:t>
                  </w:r>
                </w:p>
              </w:tc>
              <w:tc>
                <w:tcPr>
                  <w:tcW w:w="874" w:type="dxa"/>
                  <w:vAlign w:val="center"/>
                </w:tcPr>
                <w:p>
                  <w:pPr>
                    <w:jc w:val="center"/>
                    <w:rPr>
                      <w:rFonts w:hint="default" w:eastAsia="宋体"/>
                      <w:color w:val="FF0000"/>
                      <w:szCs w:val="21"/>
                      <w:lang w:val="en-US" w:eastAsia="zh-CN"/>
                    </w:rPr>
                  </w:pPr>
                  <w:r>
                    <w:rPr>
                      <w:color w:val="FF0000"/>
                      <w:szCs w:val="21"/>
                    </w:rPr>
                    <w:t>0.0</w:t>
                  </w:r>
                  <w:r>
                    <w:rPr>
                      <w:rFonts w:hint="eastAsia"/>
                      <w:color w:val="FF0000"/>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1" w:hRule="atLeast"/>
                <w:jc w:val="center"/>
              </w:trPr>
              <w:tc>
                <w:tcPr>
                  <w:tcW w:w="537" w:type="dxa"/>
                  <w:vAlign w:val="center"/>
                </w:tcPr>
                <w:p>
                  <w:pPr>
                    <w:jc w:val="center"/>
                    <w:rPr>
                      <w:rFonts w:hint="eastAsia" w:eastAsia="宋体"/>
                      <w:color w:val="FF0000"/>
                      <w:szCs w:val="21"/>
                      <w:lang w:val="en-US" w:eastAsia="zh-CN"/>
                    </w:rPr>
                  </w:pPr>
                  <w:r>
                    <w:rPr>
                      <w:rFonts w:hint="eastAsia"/>
                      <w:color w:val="FF0000"/>
                      <w:szCs w:val="21"/>
                      <w:lang w:val="en-US" w:eastAsia="zh-CN"/>
                    </w:rPr>
                    <w:t>2</w:t>
                  </w:r>
                </w:p>
              </w:tc>
              <w:tc>
                <w:tcPr>
                  <w:tcW w:w="675" w:type="dxa"/>
                  <w:vAlign w:val="center"/>
                </w:tcPr>
                <w:p>
                  <w:pPr>
                    <w:spacing w:line="240" w:lineRule="auto"/>
                    <w:jc w:val="center"/>
                    <w:rPr>
                      <w:rFonts w:hint="default" w:eastAsia="宋体"/>
                      <w:color w:val="FF0000"/>
                      <w:szCs w:val="21"/>
                      <w:lang w:val="en-US" w:eastAsia="zh-CN"/>
                    </w:rPr>
                  </w:pPr>
                  <w:r>
                    <w:rPr>
                      <w:rFonts w:hint="eastAsia"/>
                      <w:color w:val="auto"/>
                      <w:sz w:val="21"/>
                      <w:szCs w:val="21"/>
                      <w:lang w:val="en-US" w:eastAsia="zh-CN"/>
                    </w:rPr>
                    <w:t>喷粉</w:t>
                  </w:r>
                  <w:r>
                    <w:rPr>
                      <w:color w:val="auto"/>
                      <w:sz w:val="21"/>
                      <w:szCs w:val="21"/>
                    </w:rPr>
                    <w:t>车间面源</w:t>
                  </w:r>
                </w:p>
              </w:tc>
              <w:tc>
                <w:tcPr>
                  <w:tcW w:w="1005" w:type="dxa"/>
                  <w:vAlign w:val="center"/>
                </w:tcPr>
                <w:p>
                  <w:pPr>
                    <w:jc w:val="center"/>
                    <w:rPr>
                      <w:rFonts w:hint="eastAsia"/>
                      <w:color w:val="FF0000"/>
                      <w:szCs w:val="21"/>
                      <w:lang w:val="zh-CN"/>
                    </w:rPr>
                  </w:pPr>
                  <w:r>
                    <w:rPr>
                      <w:rFonts w:hint="eastAsia"/>
                      <w:color w:val="FF0000"/>
                      <w:szCs w:val="21"/>
                      <w:lang w:val="zh-CN"/>
                    </w:rPr>
                    <w:t>0</w:t>
                  </w:r>
                </w:p>
              </w:tc>
              <w:tc>
                <w:tcPr>
                  <w:tcW w:w="885" w:type="dxa"/>
                  <w:vAlign w:val="center"/>
                </w:tcPr>
                <w:p>
                  <w:pPr>
                    <w:jc w:val="center"/>
                    <w:rPr>
                      <w:rFonts w:hint="eastAsia"/>
                      <w:color w:val="FF0000"/>
                      <w:szCs w:val="21"/>
                    </w:rPr>
                  </w:pPr>
                  <w:r>
                    <w:rPr>
                      <w:rFonts w:hint="eastAsia"/>
                      <w:color w:val="FF0000"/>
                      <w:szCs w:val="21"/>
                    </w:rPr>
                    <w:t>50</w:t>
                  </w:r>
                </w:p>
              </w:tc>
              <w:tc>
                <w:tcPr>
                  <w:tcW w:w="945" w:type="dxa"/>
                  <w:vAlign w:val="center"/>
                </w:tcPr>
                <w:p>
                  <w:pPr>
                    <w:jc w:val="center"/>
                    <w:rPr>
                      <w:rFonts w:hint="eastAsia"/>
                      <w:color w:val="FF0000"/>
                      <w:szCs w:val="21"/>
                    </w:rPr>
                  </w:pPr>
                  <w:r>
                    <w:rPr>
                      <w:rFonts w:hint="eastAsia"/>
                      <w:color w:val="FF0000"/>
                      <w:szCs w:val="21"/>
                    </w:rPr>
                    <w:t>20</w:t>
                  </w:r>
                </w:p>
              </w:tc>
              <w:tc>
                <w:tcPr>
                  <w:tcW w:w="1020" w:type="dxa"/>
                  <w:vAlign w:val="center"/>
                </w:tcPr>
                <w:p>
                  <w:pPr>
                    <w:jc w:val="center"/>
                    <w:rPr>
                      <w:rFonts w:hint="eastAsia" w:eastAsia="宋体"/>
                      <w:color w:val="FF0000"/>
                      <w:szCs w:val="21"/>
                      <w:lang w:eastAsia="zh-CN"/>
                    </w:rPr>
                  </w:pPr>
                  <w:r>
                    <w:rPr>
                      <w:rFonts w:hint="eastAsia"/>
                      <w:color w:val="FF0000"/>
                      <w:szCs w:val="21"/>
                      <w:lang w:val="en-US" w:eastAsia="zh-CN"/>
                    </w:rPr>
                    <w:t>7</w:t>
                  </w:r>
                </w:p>
              </w:tc>
              <w:tc>
                <w:tcPr>
                  <w:tcW w:w="780" w:type="dxa"/>
                  <w:vAlign w:val="center"/>
                </w:tcPr>
                <w:p>
                  <w:pPr>
                    <w:jc w:val="center"/>
                    <w:rPr>
                      <w:rFonts w:hint="eastAsia"/>
                      <w:color w:val="FF0000"/>
                      <w:szCs w:val="21"/>
                      <w:lang w:val="zh-CN"/>
                    </w:rPr>
                  </w:pPr>
                  <w:r>
                    <w:rPr>
                      <w:rFonts w:hint="eastAsia"/>
                      <w:color w:val="FF0000"/>
                      <w:szCs w:val="21"/>
                      <w:lang w:val="zh-CN"/>
                    </w:rPr>
                    <w:t>2400</w:t>
                  </w:r>
                </w:p>
              </w:tc>
              <w:tc>
                <w:tcPr>
                  <w:tcW w:w="750" w:type="dxa"/>
                  <w:vAlign w:val="center"/>
                </w:tcPr>
                <w:p>
                  <w:pPr>
                    <w:jc w:val="center"/>
                    <w:rPr>
                      <w:rFonts w:hint="eastAsia"/>
                      <w:color w:val="FF0000"/>
                      <w:szCs w:val="21"/>
                      <w:lang w:val="zh-CN"/>
                    </w:rPr>
                  </w:pPr>
                  <w:r>
                    <w:rPr>
                      <w:rFonts w:hint="eastAsia"/>
                      <w:color w:val="FF0000"/>
                      <w:szCs w:val="21"/>
                      <w:lang w:val="zh-CN"/>
                    </w:rPr>
                    <w:t>正常</w:t>
                  </w:r>
                </w:p>
              </w:tc>
              <w:tc>
                <w:tcPr>
                  <w:tcW w:w="825" w:type="dxa"/>
                  <w:vAlign w:val="center"/>
                </w:tcPr>
                <w:p>
                  <w:pPr>
                    <w:jc w:val="center"/>
                    <w:rPr>
                      <w:color w:val="FF0000"/>
                      <w:kern w:val="0"/>
                      <w:szCs w:val="21"/>
                    </w:rPr>
                  </w:pPr>
                  <w:r>
                    <w:rPr>
                      <w:rFonts w:hint="eastAsia"/>
                      <w:bCs/>
                      <w:color w:val="FF0000"/>
                      <w:sz w:val="21"/>
                      <w:szCs w:val="21"/>
                    </w:rPr>
                    <w:t>TSP</w:t>
                  </w:r>
                </w:p>
              </w:tc>
              <w:tc>
                <w:tcPr>
                  <w:tcW w:w="874" w:type="dxa"/>
                  <w:vAlign w:val="center"/>
                </w:tcPr>
                <w:p>
                  <w:pPr>
                    <w:jc w:val="center"/>
                    <w:rPr>
                      <w:color w:val="FF0000"/>
                      <w:szCs w:val="21"/>
                    </w:rPr>
                  </w:pPr>
                  <w:r>
                    <w:rPr>
                      <w:rFonts w:hint="default" w:ascii="Times New Roman" w:hAnsi="Times New Roman" w:eastAsia="宋体" w:cs="Times New Roman"/>
                      <w:i w:val="0"/>
                      <w:color w:val="FF0000"/>
                      <w:kern w:val="0"/>
                      <w:sz w:val="21"/>
                      <w:szCs w:val="21"/>
                      <w:u w:val="none"/>
                      <w:lang w:val="en-US" w:eastAsia="zh-CN" w:bidi="ar"/>
                    </w:rPr>
                    <w:t>0.00</w:t>
                  </w:r>
                  <w:r>
                    <w:rPr>
                      <w:rFonts w:hint="eastAsia" w:cs="Times New Roman"/>
                      <w:i w:val="0"/>
                      <w:color w:val="FF0000"/>
                      <w:kern w:val="0"/>
                      <w:sz w:val="21"/>
                      <w:szCs w:val="21"/>
                      <w:u w:val="none"/>
                      <w:lang w:val="en-US" w:eastAsia="zh-CN" w:bidi="ar"/>
                    </w:rPr>
                    <w:t>2</w:t>
                  </w:r>
                  <w:r>
                    <w:rPr>
                      <w:rFonts w:hint="default" w:ascii="Times New Roman" w:hAnsi="Times New Roman" w:eastAsia="宋体" w:cs="Times New Roman"/>
                      <w:i w:val="0"/>
                      <w:color w:val="FF0000"/>
                      <w:kern w:val="0"/>
                      <w:sz w:val="21"/>
                      <w:szCs w:val="21"/>
                      <w:u w:val="none"/>
                      <w:lang w:val="en-US" w:eastAsia="zh-CN" w:bidi="ar"/>
                    </w:rPr>
                    <w:t>5</w:t>
                  </w:r>
                </w:p>
              </w:tc>
            </w:tr>
          </w:tbl>
          <w:p>
            <w:pPr>
              <w:pStyle w:val="28"/>
              <w:spacing w:line="300" w:lineRule="auto"/>
              <w:rPr>
                <w:bCs/>
                <w:szCs w:val="24"/>
              </w:rPr>
            </w:pPr>
            <w:r>
              <w:rPr>
                <w:b/>
                <w:szCs w:val="24"/>
              </w:rPr>
              <w:t>表</w:t>
            </w:r>
            <w:r>
              <w:rPr>
                <w:rFonts w:hint="eastAsia"/>
                <w:b/>
                <w:szCs w:val="24"/>
              </w:rPr>
              <w:t>7-11</w:t>
            </w:r>
            <w:r>
              <w:rPr>
                <w:b/>
                <w:szCs w:val="24"/>
              </w:rPr>
              <w:t>估算模型参数表</w:t>
            </w:r>
          </w:p>
          <w:tbl>
            <w:tblPr>
              <w:tblStyle w:val="15"/>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2"/>
              <w:gridCol w:w="2643"/>
              <w:gridCol w:w="3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35" w:type="dxa"/>
                  <w:gridSpan w:val="2"/>
                  <w:vAlign w:val="center"/>
                </w:tcPr>
                <w:p>
                  <w:pPr>
                    <w:pStyle w:val="29"/>
                    <w:rPr>
                      <w:bCs/>
                      <w:szCs w:val="21"/>
                    </w:rPr>
                  </w:pPr>
                  <w:r>
                    <w:rPr>
                      <w:bCs/>
                      <w:szCs w:val="21"/>
                    </w:rPr>
                    <w:t>参数</w:t>
                  </w:r>
                </w:p>
              </w:tc>
              <w:tc>
                <w:tcPr>
                  <w:tcW w:w="3261" w:type="dxa"/>
                  <w:vAlign w:val="center"/>
                </w:tcPr>
                <w:p>
                  <w:pPr>
                    <w:pStyle w:val="29"/>
                    <w:rPr>
                      <w:bCs/>
                      <w:szCs w:val="21"/>
                    </w:rPr>
                  </w:pPr>
                  <w:r>
                    <w:rPr>
                      <w:bCs/>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92" w:type="dxa"/>
                  <w:vMerge w:val="restart"/>
                  <w:vAlign w:val="center"/>
                </w:tcPr>
                <w:p>
                  <w:pPr>
                    <w:pStyle w:val="29"/>
                    <w:rPr>
                      <w:bCs/>
                      <w:szCs w:val="21"/>
                    </w:rPr>
                  </w:pPr>
                  <w:r>
                    <w:rPr>
                      <w:bCs/>
                      <w:szCs w:val="21"/>
                    </w:rPr>
                    <w:t>城市/农村选项</w:t>
                  </w:r>
                </w:p>
              </w:tc>
              <w:tc>
                <w:tcPr>
                  <w:tcW w:w="2643" w:type="dxa"/>
                  <w:vAlign w:val="center"/>
                </w:tcPr>
                <w:p>
                  <w:pPr>
                    <w:pStyle w:val="29"/>
                    <w:rPr>
                      <w:bCs/>
                      <w:szCs w:val="21"/>
                    </w:rPr>
                  </w:pPr>
                  <w:r>
                    <w:rPr>
                      <w:bCs/>
                      <w:szCs w:val="21"/>
                    </w:rPr>
                    <w:t>城市/农村</w:t>
                  </w:r>
                </w:p>
              </w:tc>
              <w:tc>
                <w:tcPr>
                  <w:tcW w:w="3261" w:type="dxa"/>
                  <w:vAlign w:val="center"/>
                </w:tcPr>
                <w:p>
                  <w:pPr>
                    <w:pStyle w:val="29"/>
                    <w:rPr>
                      <w:bCs/>
                      <w:szCs w:val="21"/>
                    </w:rPr>
                  </w:pPr>
                  <w:r>
                    <w:rPr>
                      <w:rFonts w:hint="eastAsia"/>
                      <w:bCs/>
                      <w:szCs w:val="21"/>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92" w:type="dxa"/>
                  <w:vMerge w:val="continue"/>
                  <w:vAlign w:val="center"/>
                </w:tcPr>
                <w:p>
                  <w:pPr>
                    <w:pStyle w:val="29"/>
                    <w:rPr>
                      <w:bCs/>
                      <w:szCs w:val="21"/>
                    </w:rPr>
                  </w:pPr>
                </w:p>
              </w:tc>
              <w:tc>
                <w:tcPr>
                  <w:tcW w:w="2643" w:type="dxa"/>
                  <w:vAlign w:val="center"/>
                </w:tcPr>
                <w:p>
                  <w:pPr>
                    <w:pStyle w:val="29"/>
                    <w:rPr>
                      <w:bCs/>
                      <w:szCs w:val="21"/>
                    </w:rPr>
                  </w:pPr>
                  <w:r>
                    <w:rPr>
                      <w:bCs/>
                      <w:szCs w:val="21"/>
                    </w:rPr>
                    <w:t>人口数（城市选项时）</w:t>
                  </w:r>
                </w:p>
              </w:tc>
              <w:tc>
                <w:tcPr>
                  <w:tcW w:w="3261" w:type="dxa"/>
                  <w:vAlign w:val="center"/>
                </w:tcPr>
                <w:p>
                  <w:pPr>
                    <w:pStyle w:val="29"/>
                    <w:rPr>
                      <w:bCs/>
                      <w:szCs w:val="21"/>
                    </w:rPr>
                  </w:pPr>
                  <w:r>
                    <w:rPr>
                      <w:rFonts w:hint="eastAsia"/>
                      <w:bCs/>
                      <w:szCs w:val="21"/>
                    </w:rPr>
                    <w:t>257万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35" w:type="dxa"/>
                  <w:gridSpan w:val="2"/>
                  <w:vAlign w:val="center"/>
                </w:tcPr>
                <w:p>
                  <w:pPr>
                    <w:pStyle w:val="29"/>
                    <w:rPr>
                      <w:bCs/>
                      <w:szCs w:val="21"/>
                    </w:rPr>
                  </w:pPr>
                  <w:r>
                    <w:rPr>
                      <w:bCs/>
                      <w:szCs w:val="21"/>
                    </w:rPr>
                    <w:t>最高环境温度/℃</w:t>
                  </w:r>
                </w:p>
              </w:tc>
              <w:tc>
                <w:tcPr>
                  <w:tcW w:w="3261" w:type="dxa"/>
                  <w:vAlign w:val="center"/>
                </w:tcPr>
                <w:p>
                  <w:pPr>
                    <w:widowControl/>
                    <w:jc w:val="center"/>
                    <w:rPr>
                      <w:bCs/>
                      <w:szCs w:val="21"/>
                    </w:rPr>
                  </w:pPr>
                  <w:r>
                    <w:rPr>
                      <w:bCs/>
                      <w:szCs w:val="21"/>
                    </w:rPr>
                    <w:t>39.5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35" w:type="dxa"/>
                  <w:gridSpan w:val="2"/>
                  <w:vAlign w:val="center"/>
                </w:tcPr>
                <w:p>
                  <w:pPr>
                    <w:pStyle w:val="29"/>
                    <w:rPr>
                      <w:bCs/>
                      <w:szCs w:val="21"/>
                    </w:rPr>
                  </w:pPr>
                  <w:r>
                    <w:rPr>
                      <w:bCs/>
                      <w:szCs w:val="21"/>
                    </w:rPr>
                    <w:t>最低环境温度/℃</w:t>
                  </w:r>
                </w:p>
              </w:tc>
              <w:tc>
                <w:tcPr>
                  <w:tcW w:w="3261" w:type="dxa"/>
                  <w:vAlign w:val="center"/>
                </w:tcPr>
                <w:p>
                  <w:pPr>
                    <w:widowControl/>
                    <w:jc w:val="center"/>
                    <w:rPr>
                      <w:bCs/>
                      <w:szCs w:val="21"/>
                    </w:rPr>
                  </w:pPr>
                  <w:r>
                    <w:rPr>
                      <w:rFonts w:hint="eastAsia"/>
                      <w:bCs/>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35" w:type="dxa"/>
                  <w:gridSpan w:val="2"/>
                  <w:vAlign w:val="center"/>
                </w:tcPr>
                <w:p>
                  <w:pPr>
                    <w:pStyle w:val="29"/>
                    <w:rPr>
                      <w:bCs/>
                      <w:szCs w:val="21"/>
                    </w:rPr>
                  </w:pPr>
                  <w:r>
                    <w:rPr>
                      <w:bCs/>
                      <w:szCs w:val="21"/>
                    </w:rPr>
                    <w:t>土地利用类型</w:t>
                  </w:r>
                </w:p>
              </w:tc>
              <w:tc>
                <w:tcPr>
                  <w:tcW w:w="3261" w:type="dxa"/>
                  <w:vAlign w:val="center"/>
                </w:tcPr>
                <w:p>
                  <w:pPr>
                    <w:pStyle w:val="29"/>
                    <w:rPr>
                      <w:bCs/>
                      <w:szCs w:val="21"/>
                    </w:rPr>
                  </w:pPr>
                  <w:r>
                    <w:rPr>
                      <w:bCs/>
                      <w:szCs w:val="21"/>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35" w:type="dxa"/>
                  <w:gridSpan w:val="2"/>
                  <w:vAlign w:val="center"/>
                </w:tcPr>
                <w:p>
                  <w:pPr>
                    <w:pStyle w:val="29"/>
                    <w:rPr>
                      <w:bCs/>
                      <w:szCs w:val="21"/>
                    </w:rPr>
                  </w:pPr>
                  <w:r>
                    <w:rPr>
                      <w:bCs/>
                      <w:szCs w:val="21"/>
                    </w:rPr>
                    <w:t>区域湿度条件</w:t>
                  </w:r>
                </w:p>
              </w:tc>
              <w:tc>
                <w:tcPr>
                  <w:tcW w:w="3261" w:type="dxa"/>
                  <w:vAlign w:val="center"/>
                </w:tcPr>
                <w:p>
                  <w:pPr>
                    <w:pStyle w:val="29"/>
                    <w:rPr>
                      <w:bCs/>
                      <w:szCs w:val="21"/>
                    </w:rPr>
                  </w:pPr>
                  <w:r>
                    <w:rPr>
                      <w:bCs/>
                      <w:szCs w:val="21"/>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92" w:type="dxa"/>
                  <w:vMerge w:val="restart"/>
                  <w:vAlign w:val="center"/>
                </w:tcPr>
                <w:p>
                  <w:pPr>
                    <w:pStyle w:val="29"/>
                    <w:rPr>
                      <w:bCs/>
                      <w:szCs w:val="21"/>
                    </w:rPr>
                  </w:pPr>
                  <w:r>
                    <w:rPr>
                      <w:bCs/>
                      <w:szCs w:val="21"/>
                    </w:rPr>
                    <w:t>是否考虑地形</w:t>
                  </w:r>
                </w:p>
              </w:tc>
              <w:tc>
                <w:tcPr>
                  <w:tcW w:w="2643" w:type="dxa"/>
                  <w:vAlign w:val="center"/>
                </w:tcPr>
                <w:p>
                  <w:pPr>
                    <w:pStyle w:val="29"/>
                    <w:rPr>
                      <w:bCs/>
                      <w:szCs w:val="21"/>
                    </w:rPr>
                  </w:pPr>
                  <w:r>
                    <w:rPr>
                      <w:bCs/>
                      <w:szCs w:val="21"/>
                    </w:rPr>
                    <w:t>考虑地形</w:t>
                  </w:r>
                </w:p>
              </w:tc>
              <w:tc>
                <w:tcPr>
                  <w:tcW w:w="3261" w:type="dxa"/>
                  <w:vAlign w:val="center"/>
                </w:tcPr>
                <w:p>
                  <w:pPr>
                    <w:pStyle w:val="29"/>
                    <w:rPr>
                      <w:bCs/>
                      <w:szCs w:val="21"/>
                    </w:rPr>
                  </w:pPr>
                  <w:r>
                    <w:rPr>
                      <w:bCs/>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92" w:type="dxa"/>
                  <w:vMerge w:val="continue"/>
                  <w:vAlign w:val="center"/>
                </w:tcPr>
                <w:p>
                  <w:pPr>
                    <w:pStyle w:val="29"/>
                    <w:rPr>
                      <w:bCs/>
                      <w:szCs w:val="21"/>
                    </w:rPr>
                  </w:pPr>
                </w:p>
              </w:tc>
              <w:tc>
                <w:tcPr>
                  <w:tcW w:w="2643" w:type="dxa"/>
                  <w:vAlign w:val="center"/>
                </w:tcPr>
                <w:p>
                  <w:pPr>
                    <w:pStyle w:val="29"/>
                    <w:rPr>
                      <w:bCs/>
                      <w:szCs w:val="21"/>
                    </w:rPr>
                  </w:pPr>
                  <w:r>
                    <w:rPr>
                      <w:bCs/>
                      <w:szCs w:val="21"/>
                    </w:rPr>
                    <w:t>地形数据分辨率/m</w:t>
                  </w:r>
                </w:p>
              </w:tc>
              <w:tc>
                <w:tcPr>
                  <w:tcW w:w="3261" w:type="dxa"/>
                  <w:vAlign w:val="center"/>
                </w:tcPr>
                <w:p>
                  <w:pPr>
                    <w:pStyle w:val="29"/>
                    <w:rPr>
                      <w:bCs/>
                      <w:szCs w:val="21"/>
                    </w:rPr>
                  </w:pPr>
                  <w:r>
                    <w:rPr>
                      <w:bCs/>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92" w:type="dxa"/>
                  <w:vMerge w:val="restart"/>
                  <w:vAlign w:val="center"/>
                </w:tcPr>
                <w:p>
                  <w:pPr>
                    <w:pStyle w:val="29"/>
                    <w:rPr>
                      <w:bCs/>
                      <w:szCs w:val="21"/>
                    </w:rPr>
                  </w:pPr>
                  <w:r>
                    <w:rPr>
                      <w:bCs/>
                      <w:szCs w:val="21"/>
                    </w:rPr>
                    <w:t>是否考虑岸线熏烟</w:t>
                  </w:r>
                </w:p>
              </w:tc>
              <w:tc>
                <w:tcPr>
                  <w:tcW w:w="2643" w:type="dxa"/>
                  <w:vAlign w:val="center"/>
                </w:tcPr>
                <w:p>
                  <w:pPr>
                    <w:pStyle w:val="29"/>
                    <w:rPr>
                      <w:bCs/>
                      <w:szCs w:val="21"/>
                    </w:rPr>
                  </w:pPr>
                  <w:r>
                    <w:rPr>
                      <w:bCs/>
                      <w:szCs w:val="21"/>
                    </w:rPr>
                    <w:t>考虑岸线熏烟</w:t>
                  </w:r>
                </w:p>
              </w:tc>
              <w:tc>
                <w:tcPr>
                  <w:tcW w:w="3261" w:type="dxa"/>
                  <w:vAlign w:val="center"/>
                </w:tcPr>
                <w:p>
                  <w:pPr>
                    <w:pStyle w:val="29"/>
                    <w:rPr>
                      <w:bCs/>
                      <w:szCs w:val="21"/>
                    </w:rPr>
                  </w:pPr>
                  <w:r>
                    <w:rPr>
                      <w:bCs/>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92" w:type="dxa"/>
                  <w:vMerge w:val="continue"/>
                  <w:vAlign w:val="center"/>
                </w:tcPr>
                <w:p>
                  <w:pPr>
                    <w:pStyle w:val="29"/>
                    <w:rPr>
                      <w:bCs/>
                      <w:szCs w:val="21"/>
                    </w:rPr>
                  </w:pPr>
                </w:p>
              </w:tc>
              <w:tc>
                <w:tcPr>
                  <w:tcW w:w="2643" w:type="dxa"/>
                  <w:vAlign w:val="center"/>
                </w:tcPr>
                <w:p>
                  <w:pPr>
                    <w:pStyle w:val="29"/>
                    <w:rPr>
                      <w:bCs/>
                      <w:szCs w:val="21"/>
                    </w:rPr>
                  </w:pPr>
                  <w:r>
                    <w:rPr>
                      <w:bCs/>
                      <w:szCs w:val="21"/>
                    </w:rPr>
                    <w:t>岸线距离/km</w:t>
                  </w:r>
                </w:p>
              </w:tc>
              <w:tc>
                <w:tcPr>
                  <w:tcW w:w="3261" w:type="dxa"/>
                  <w:vAlign w:val="center"/>
                </w:tcPr>
                <w:p>
                  <w:pPr>
                    <w:pStyle w:val="29"/>
                    <w:rPr>
                      <w:bCs/>
                      <w:szCs w:val="21"/>
                    </w:rPr>
                  </w:pPr>
                  <w:r>
                    <w:rPr>
                      <w:bCs/>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392" w:type="dxa"/>
                  <w:vMerge w:val="continue"/>
                  <w:vAlign w:val="center"/>
                </w:tcPr>
                <w:p>
                  <w:pPr>
                    <w:pStyle w:val="29"/>
                    <w:rPr>
                      <w:bCs/>
                      <w:szCs w:val="21"/>
                    </w:rPr>
                  </w:pPr>
                </w:p>
              </w:tc>
              <w:tc>
                <w:tcPr>
                  <w:tcW w:w="2643" w:type="dxa"/>
                  <w:vAlign w:val="center"/>
                </w:tcPr>
                <w:p>
                  <w:pPr>
                    <w:pStyle w:val="29"/>
                    <w:rPr>
                      <w:bCs/>
                      <w:szCs w:val="21"/>
                    </w:rPr>
                  </w:pPr>
                  <w:r>
                    <w:rPr>
                      <w:bCs/>
                      <w:szCs w:val="21"/>
                    </w:rPr>
                    <w:t>岸线方向/°</w:t>
                  </w:r>
                </w:p>
              </w:tc>
              <w:tc>
                <w:tcPr>
                  <w:tcW w:w="3261" w:type="dxa"/>
                  <w:vAlign w:val="center"/>
                </w:tcPr>
                <w:p>
                  <w:pPr>
                    <w:pStyle w:val="29"/>
                    <w:rPr>
                      <w:bCs/>
                      <w:szCs w:val="21"/>
                    </w:rPr>
                  </w:pPr>
                  <w:r>
                    <w:rPr>
                      <w:bCs/>
                      <w:szCs w:val="21"/>
                    </w:rPr>
                    <w:t>--</w:t>
                  </w:r>
                </w:p>
              </w:tc>
            </w:tr>
          </w:tbl>
          <w:p>
            <w:pPr>
              <w:spacing w:line="300" w:lineRule="auto"/>
              <w:ind w:firstLine="482" w:firstLineChars="200"/>
              <w:rPr>
                <w:b/>
                <w:bCs w:val="0"/>
                <w:sz w:val="24"/>
                <w:szCs w:val="32"/>
              </w:rPr>
            </w:pPr>
            <w:r>
              <w:rPr>
                <w:b/>
                <w:bCs w:val="0"/>
                <w:sz w:val="24"/>
                <w:szCs w:val="32"/>
              </w:rPr>
              <w:t>③主要污染源估算模型计算结果及评价等级判定</w:t>
            </w:r>
          </w:p>
          <w:p>
            <w:pPr>
              <w:spacing w:line="300" w:lineRule="auto"/>
              <w:ind w:firstLine="480" w:firstLineChars="200"/>
              <w:rPr>
                <w:bCs/>
                <w:snapToGrid w:val="0"/>
                <w:sz w:val="24"/>
                <w:szCs w:val="32"/>
              </w:rPr>
            </w:pPr>
            <w:r>
              <w:rPr>
                <w:bCs/>
                <w:snapToGrid w:val="0"/>
                <w:sz w:val="24"/>
                <w:szCs w:val="32"/>
              </w:rPr>
              <w:t>项目主要污染源正常排放污染物的P</w:t>
            </w:r>
            <w:r>
              <w:rPr>
                <w:bCs/>
                <w:snapToGrid w:val="0"/>
                <w:sz w:val="24"/>
                <w:szCs w:val="32"/>
                <w:vertAlign w:val="subscript"/>
              </w:rPr>
              <w:t>max</w:t>
            </w:r>
            <w:r>
              <w:rPr>
                <w:bCs/>
                <w:snapToGrid w:val="0"/>
                <w:sz w:val="24"/>
                <w:szCs w:val="32"/>
              </w:rPr>
              <w:t>和</w:t>
            </w:r>
            <w:r>
              <w:rPr>
                <w:rFonts w:hint="eastAsia"/>
                <w:bCs/>
                <w:snapToGrid w:val="0"/>
                <w:sz w:val="24"/>
                <w:szCs w:val="32"/>
              </w:rPr>
              <w:t>C</w:t>
            </w:r>
            <w:r>
              <w:rPr>
                <w:bCs/>
                <w:snapToGrid w:val="0"/>
                <w:sz w:val="24"/>
                <w:szCs w:val="32"/>
                <w:vertAlign w:val="subscript"/>
              </w:rPr>
              <w:t>max</w:t>
            </w:r>
            <w:r>
              <w:rPr>
                <w:bCs/>
                <w:snapToGrid w:val="0"/>
                <w:sz w:val="24"/>
                <w:szCs w:val="32"/>
              </w:rPr>
              <w:t>预测结果详见表</w:t>
            </w:r>
            <w:r>
              <w:rPr>
                <w:rFonts w:hint="eastAsia"/>
                <w:bCs/>
                <w:snapToGrid w:val="0"/>
                <w:sz w:val="24"/>
                <w:szCs w:val="32"/>
              </w:rPr>
              <w:t>7-12</w:t>
            </w:r>
            <w:r>
              <w:rPr>
                <w:bCs/>
                <w:snapToGrid w:val="0"/>
                <w:sz w:val="24"/>
                <w:szCs w:val="32"/>
              </w:rPr>
              <w:t>。</w:t>
            </w:r>
          </w:p>
          <w:p>
            <w:pPr>
              <w:keepNext w:val="0"/>
              <w:keepLines w:val="0"/>
              <w:pageBreakBefore w:val="0"/>
              <w:widowControl w:val="0"/>
              <w:kinsoku/>
              <w:wordWrap/>
              <w:overflowPunct/>
              <w:topLinePunct w:val="0"/>
              <w:autoSpaceDE/>
              <w:autoSpaceDN/>
              <w:bidi w:val="0"/>
              <w:adjustRightInd/>
              <w:snapToGrid/>
              <w:spacing w:before="157" w:beforeLines="50" w:line="300" w:lineRule="auto"/>
              <w:jc w:val="center"/>
              <w:textAlignment w:val="auto"/>
              <w:rPr>
                <w:bCs/>
                <w:color w:val="FF0000"/>
                <w:sz w:val="21"/>
                <w:szCs w:val="24"/>
              </w:rPr>
            </w:pPr>
            <w:r>
              <w:rPr>
                <w:b/>
                <w:color w:val="FF0000"/>
                <w:sz w:val="21"/>
                <w:szCs w:val="24"/>
              </w:rPr>
              <w:t>表</w:t>
            </w:r>
            <w:r>
              <w:rPr>
                <w:rFonts w:hint="eastAsia"/>
                <w:b/>
                <w:color w:val="FF0000"/>
                <w:sz w:val="21"/>
                <w:szCs w:val="24"/>
              </w:rPr>
              <w:t>7-12</w:t>
            </w:r>
            <w:r>
              <w:rPr>
                <w:b/>
                <w:color w:val="FF0000"/>
                <w:sz w:val="21"/>
                <w:szCs w:val="24"/>
              </w:rPr>
              <w:t xml:space="preserve">  P</w:t>
            </w:r>
            <w:r>
              <w:rPr>
                <w:b/>
                <w:color w:val="FF0000"/>
                <w:sz w:val="21"/>
                <w:szCs w:val="24"/>
                <w:vertAlign w:val="subscript"/>
              </w:rPr>
              <w:t>max</w:t>
            </w:r>
            <w:r>
              <w:rPr>
                <w:b/>
                <w:color w:val="FF0000"/>
                <w:sz w:val="21"/>
                <w:szCs w:val="24"/>
              </w:rPr>
              <w:t>和</w:t>
            </w:r>
            <w:r>
              <w:rPr>
                <w:rFonts w:hint="eastAsia"/>
                <w:b/>
                <w:snapToGrid w:val="0"/>
                <w:color w:val="FF0000"/>
                <w:sz w:val="21"/>
                <w:szCs w:val="24"/>
              </w:rPr>
              <w:t>C</w:t>
            </w:r>
            <w:r>
              <w:rPr>
                <w:b/>
                <w:snapToGrid w:val="0"/>
                <w:color w:val="FF0000"/>
                <w:sz w:val="21"/>
                <w:szCs w:val="24"/>
                <w:vertAlign w:val="subscript"/>
              </w:rPr>
              <w:t>max</w:t>
            </w:r>
            <w:r>
              <w:rPr>
                <w:b/>
                <w:color w:val="FF0000"/>
                <w:sz w:val="21"/>
                <w:szCs w:val="24"/>
              </w:rPr>
              <w:t>预测和计算结果一览表</w:t>
            </w:r>
          </w:p>
          <w:tbl>
            <w:tblPr>
              <w:tblStyle w:val="15"/>
              <w:tblW w:w="838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0"/>
              <w:gridCol w:w="1200"/>
              <w:gridCol w:w="1307"/>
              <w:gridCol w:w="1121"/>
              <w:gridCol w:w="1120"/>
              <w:gridCol w:w="926"/>
              <w:gridCol w:w="1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jc w:val="center"/>
              </w:trPr>
              <w:tc>
                <w:tcPr>
                  <w:tcW w:w="1620" w:type="dxa"/>
                  <w:noWrap w:val="0"/>
                  <w:vAlign w:val="center"/>
                </w:tcPr>
                <w:p>
                  <w:pPr>
                    <w:spacing w:line="240" w:lineRule="auto"/>
                    <w:jc w:val="center"/>
                    <w:rPr>
                      <w:b/>
                      <w:color w:val="FF0000"/>
                      <w:sz w:val="21"/>
                      <w:szCs w:val="21"/>
                    </w:rPr>
                  </w:pPr>
                  <w:r>
                    <w:rPr>
                      <w:b/>
                      <w:color w:val="FF0000"/>
                      <w:sz w:val="21"/>
                      <w:szCs w:val="21"/>
                    </w:rPr>
                    <w:t>污染源名称</w:t>
                  </w:r>
                </w:p>
              </w:tc>
              <w:tc>
                <w:tcPr>
                  <w:tcW w:w="1200" w:type="dxa"/>
                  <w:noWrap w:val="0"/>
                  <w:vAlign w:val="center"/>
                </w:tcPr>
                <w:p>
                  <w:pPr>
                    <w:spacing w:line="240" w:lineRule="auto"/>
                    <w:jc w:val="center"/>
                    <w:rPr>
                      <w:b/>
                      <w:color w:val="FF0000"/>
                      <w:sz w:val="21"/>
                      <w:szCs w:val="21"/>
                    </w:rPr>
                  </w:pPr>
                  <w:r>
                    <w:rPr>
                      <w:b/>
                      <w:color w:val="FF0000"/>
                      <w:sz w:val="21"/>
                      <w:szCs w:val="21"/>
                    </w:rPr>
                    <w:t>评价因子</w:t>
                  </w:r>
                </w:p>
              </w:tc>
              <w:tc>
                <w:tcPr>
                  <w:tcW w:w="1307" w:type="dxa"/>
                  <w:noWrap w:val="0"/>
                  <w:vAlign w:val="center"/>
                </w:tcPr>
                <w:p>
                  <w:pPr>
                    <w:spacing w:line="240" w:lineRule="auto"/>
                    <w:jc w:val="center"/>
                    <w:rPr>
                      <w:b/>
                      <w:color w:val="FF0000"/>
                      <w:sz w:val="21"/>
                      <w:szCs w:val="21"/>
                    </w:rPr>
                  </w:pPr>
                  <w:r>
                    <w:rPr>
                      <w:b/>
                      <w:color w:val="FF0000"/>
                      <w:sz w:val="21"/>
                      <w:szCs w:val="21"/>
                    </w:rPr>
                    <w:t>评价标准（μg/m</w:t>
                  </w:r>
                  <w:r>
                    <w:rPr>
                      <w:b/>
                      <w:color w:val="FF0000"/>
                      <w:sz w:val="21"/>
                      <w:szCs w:val="21"/>
                      <w:vertAlign w:val="superscript"/>
                    </w:rPr>
                    <w:t>3</w:t>
                  </w:r>
                  <w:r>
                    <w:rPr>
                      <w:b/>
                      <w:color w:val="FF0000"/>
                      <w:sz w:val="21"/>
                      <w:szCs w:val="21"/>
                    </w:rPr>
                    <w:t>）</w:t>
                  </w:r>
                </w:p>
              </w:tc>
              <w:tc>
                <w:tcPr>
                  <w:tcW w:w="1121" w:type="dxa"/>
                  <w:noWrap w:val="0"/>
                  <w:vAlign w:val="center"/>
                </w:tcPr>
                <w:p>
                  <w:pPr>
                    <w:spacing w:line="240" w:lineRule="auto"/>
                    <w:jc w:val="center"/>
                    <w:rPr>
                      <w:b/>
                      <w:color w:val="FF0000"/>
                      <w:sz w:val="21"/>
                      <w:szCs w:val="21"/>
                    </w:rPr>
                  </w:pPr>
                  <w:r>
                    <w:rPr>
                      <w:b/>
                      <w:color w:val="FF0000"/>
                      <w:sz w:val="21"/>
                      <w:szCs w:val="21"/>
                    </w:rPr>
                    <w:t>最大落地距离（m）</w:t>
                  </w:r>
                </w:p>
              </w:tc>
              <w:tc>
                <w:tcPr>
                  <w:tcW w:w="1120" w:type="dxa"/>
                  <w:noWrap w:val="0"/>
                  <w:vAlign w:val="center"/>
                </w:tcPr>
                <w:p>
                  <w:pPr>
                    <w:spacing w:line="240" w:lineRule="auto"/>
                    <w:jc w:val="center"/>
                    <w:rPr>
                      <w:b/>
                      <w:color w:val="FF0000"/>
                      <w:sz w:val="21"/>
                      <w:szCs w:val="21"/>
                    </w:rPr>
                  </w:pPr>
                  <w:r>
                    <w:rPr>
                      <w:b/>
                      <w:color w:val="FF0000"/>
                      <w:sz w:val="21"/>
                      <w:szCs w:val="21"/>
                    </w:rPr>
                    <w:t>Cmax（μg/m</w:t>
                  </w:r>
                  <w:r>
                    <w:rPr>
                      <w:b/>
                      <w:color w:val="FF0000"/>
                      <w:sz w:val="21"/>
                      <w:szCs w:val="21"/>
                      <w:vertAlign w:val="superscript"/>
                    </w:rPr>
                    <w:t>3</w:t>
                  </w:r>
                  <w:r>
                    <w:rPr>
                      <w:b/>
                      <w:color w:val="FF0000"/>
                      <w:sz w:val="21"/>
                      <w:szCs w:val="21"/>
                    </w:rPr>
                    <w:t>）</w:t>
                  </w:r>
                </w:p>
              </w:tc>
              <w:tc>
                <w:tcPr>
                  <w:tcW w:w="926" w:type="dxa"/>
                  <w:noWrap w:val="0"/>
                  <w:vAlign w:val="center"/>
                </w:tcPr>
                <w:p>
                  <w:pPr>
                    <w:spacing w:line="240" w:lineRule="auto"/>
                    <w:jc w:val="center"/>
                    <w:rPr>
                      <w:b/>
                      <w:color w:val="FF0000"/>
                      <w:sz w:val="21"/>
                      <w:szCs w:val="21"/>
                    </w:rPr>
                  </w:pPr>
                  <w:r>
                    <w:rPr>
                      <w:b/>
                      <w:color w:val="FF0000"/>
                      <w:sz w:val="21"/>
                      <w:szCs w:val="21"/>
                    </w:rPr>
                    <w:t>Pmax（%）</w:t>
                  </w:r>
                </w:p>
              </w:tc>
              <w:tc>
                <w:tcPr>
                  <w:tcW w:w="1086" w:type="dxa"/>
                  <w:noWrap w:val="0"/>
                  <w:vAlign w:val="center"/>
                </w:tcPr>
                <w:p>
                  <w:pPr>
                    <w:spacing w:line="240" w:lineRule="auto"/>
                    <w:jc w:val="center"/>
                    <w:rPr>
                      <w:b/>
                      <w:color w:val="FF0000"/>
                      <w:sz w:val="21"/>
                      <w:szCs w:val="21"/>
                    </w:rPr>
                  </w:pPr>
                  <w:r>
                    <w:rPr>
                      <w:b/>
                      <w:color w:val="FF0000"/>
                      <w:sz w:val="21"/>
                      <w:szCs w:val="21"/>
                    </w:rPr>
                    <w:t>D10%（m）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jc w:val="center"/>
              </w:trPr>
              <w:tc>
                <w:tcPr>
                  <w:tcW w:w="1620" w:type="dxa"/>
                  <w:noWrap w:val="0"/>
                  <w:vAlign w:val="center"/>
                </w:tcPr>
                <w:p>
                  <w:pPr>
                    <w:spacing w:line="240" w:lineRule="auto"/>
                    <w:jc w:val="center"/>
                    <w:rPr>
                      <w:color w:val="FF0000"/>
                      <w:sz w:val="21"/>
                      <w:szCs w:val="21"/>
                    </w:rPr>
                  </w:pPr>
                  <w:r>
                    <w:rPr>
                      <w:rFonts w:hint="eastAsia"/>
                      <w:color w:val="FF0000"/>
                      <w:sz w:val="21"/>
                      <w:szCs w:val="21"/>
                      <w:lang w:val="en-US" w:eastAsia="zh-CN"/>
                    </w:rPr>
                    <w:t>固化车间</w:t>
                  </w:r>
                  <w:r>
                    <w:rPr>
                      <w:color w:val="FF0000"/>
                      <w:sz w:val="21"/>
                      <w:szCs w:val="21"/>
                    </w:rPr>
                    <w:t>面源</w:t>
                  </w:r>
                </w:p>
              </w:tc>
              <w:tc>
                <w:tcPr>
                  <w:tcW w:w="1200" w:type="dxa"/>
                  <w:noWrap w:val="0"/>
                  <w:vAlign w:val="center"/>
                </w:tcPr>
                <w:p>
                  <w:pPr>
                    <w:spacing w:line="240" w:lineRule="auto"/>
                    <w:jc w:val="center"/>
                    <w:rPr>
                      <w:color w:val="FF0000"/>
                      <w:sz w:val="21"/>
                      <w:szCs w:val="21"/>
                    </w:rPr>
                  </w:pPr>
                  <w:r>
                    <w:rPr>
                      <w:rFonts w:hint="eastAsia"/>
                      <w:color w:val="FF0000"/>
                      <w:sz w:val="21"/>
                      <w:szCs w:val="21"/>
                    </w:rPr>
                    <w:t>V</w:t>
                  </w:r>
                  <w:r>
                    <w:rPr>
                      <w:color w:val="FF0000"/>
                      <w:sz w:val="21"/>
                      <w:szCs w:val="21"/>
                    </w:rPr>
                    <w:t>OCs</w:t>
                  </w:r>
                </w:p>
              </w:tc>
              <w:tc>
                <w:tcPr>
                  <w:tcW w:w="1307" w:type="dxa"/>
                  <w:noWrap w:val="0"/>
                  <w:vAlign w:val="center"/>
                </w:tcPr>
                <w:p>
                  <w:pPr>
                    <w:spacing w:line="240" w:lineRule="auto"/>
                    <w:jc w:val="center"/>
                    <w:rPr>
                      <w:color w:val="FF0000"/>
                      <w:sz w:val="21"/>
                      <w:szCs w:val="21"/>
                    </w:rPr>
                  </w:pPr>
                  <w:r>
                    <w:rPr>
                      <w:rFonts w:hint="eastAsia"/>
                      <w:color w:val="FF0000"/>
                      <w:sz w:val="21"/>
                      <w:szCs w:val="21"/>
                      <w:lang w:val="en-US" w:eastAsia="zh-CN"/>
                    </w:rPr>
                    <w:t>12</w:t>
                  </w:r>
                  <w:r>
                    <w:rPr>
                      <w:color w:val="FF0000"/>
                      <w:sz w:val="21"/>
                      <w:szCs w:val="21"/>
                    </w:rPr>
                    <w:t>00</w:t>
                  </w:r>
                </w:p>
              </w:tc>
              <w:tc>
                <w:tcPr>
                  <w:tcW w:w="1121" w:type="dxa"/>
                  <w:noWrap w:val="0"/>
                  <w:vAlign w:val="center"/>
                </w:tcPr>
                <w:p>
                  <w:pPr>
                    <w:spacing w:line="240" w:lineRule="auto"/>
                    <w:jc w:val="center"/>
                    <w:rPr>
                      <w:rFonts w:hint="default" w:eastAsia="宋体"/>
                      <w:color w:val="FF0000"/>
                      <w:sz w:val="21"/>
                      <w:szCs w:val="21"/>
                      <w:lang w:val="en-US" w:eastAsia="zh-CN"/>
                    </w:rPr>
                  </w:pPr>
                  <w:r>
                    <w:rPr>
                      <w:rFonts w:hint="eastAsia"/>
                      <w:color w:val="FF0000"/>
                      <w:sz w:val="21"/>
                      <w:szCs w:val="21"/>
                      <w:lang w:val="en-US" w:eastAsia="zh-CN"/>
                    </w:rPr>
                    <w:t>26</w:t>
                  </w:r>
                </w:p>
              </w:tc>
              <w:tc>
                <w:tcPr>
                  <w:tcW w:w="1120" w:type="dxa"/>
                  <w:noWrap w:val="0"/>
                  <w:vAlign w:val="center"/>
                </w:tcPr>
                <w:p>
                  <w:pPr>
                    <w:spacing w:line="240" w:lineRule="auto"/>
                    <w:jc w:val="center"/>
                    <w:rPr>
                      <w:color w:val="FF0000"/>
                      <w:sz w:val="21"/>
                      <w:szCs w:val="21"/>
                    </w:rPr>
                  </w:pPr>
                  <w:r>
                    <w:rPr>
                      <w:rFonts w:hint="eastAsia"/>
                      <w:color w:val="FF0000"/>
                      <w:sz w:val="21"/>
                      <w:szCs w:val="21"/>
                    </w:rPr>
                    <w:t>7.07E-03</w:t>
                  </w:r>
                </w:p>
              </w:tc>
              <w:tc>
                <w:tcPr>
                  <w:tcW w:w="926" w:type="dxa"/>
                  <w:noWrap w:val="0"/>
                  <w:vAlign w:val="center"/>
                </w:tcPr>
                <w:p>
                  <w:pPr>
                    <w:spacing w:line="240" w:lineRule="auto"/>
                    <w:jc w:val="center"/>
                    <w:rPr>
                      <w:rFonts w:hint="default" w:eastAsia="宋体"/>
                      <w:color w:val="FF0000"/>
                      <w:sz w:val="21"/>
                      <w:szCs w:val="21"/>
                      <w:lang w:val="en-US" w:eastAsia="zh-CN"/>
                    </w:rPr>
                  </w:pPr>
                  <w:r>
                    <w:rPr>
                      <w:rFonts w:hint="eastAsia"/>
                      <w:color w:val="FF0000"/>
                      <w:sz w:val="21"/>
                      <w:szCs w:val="21"/>
                    </w:rPr>
                    <w:t>0.</w:t>
                  </w:r>
                  <w:r>
                    <w:rPr>
                      <w:rFonts w:hint="eastAsia"/>
                      <w:color w:val="FF0000"/>
                      <w:sz w:val="21"/>
                      <w:szCs w:val="21"/>
                      <w:lang w:val="en-US" w:eastAsia="zh-CN"/>
                    </w:rPr>
                    <w:t>79</w:t>
                  </w:r>
                </w:p>
              </w:tc>
              <w:tc>
                <w:tcPr>
                  <w:tcW w:w="1086" w:type="dxa"/>
                  <w:noWrap w:val="0"/>
                  <w:vAlign w:val="center"/>
                </w:tcPr>
                <w:p>
                  <w:pPr>
                    <w:spacing w:line="240" w:lineRule="auto"/>
                    <w:jc w:val="center"/>
                    <w:rPr>
                      <w:color w:val="FF0000"/>
                      <w:sz w:val="21"/>
                      <w:szCs w:val="21"/>
                    </w:rPr>
                  </w:pPr>
                  <w:r>
                    <w:rPr>
                      <w:color w:val="FF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jc w:val="center"/>
              </w:trPr>
              <w:tc>
                <w:tcPr>
                  <w:tcW w:w="1620" w:type="dxa"/>
                  <w:noWrap w:val="0"/>
                  <w:vAlign w:val="center"/>
                </w:tcPr>
                <w:p>
                  <w:pPr>
                    <w:spacing w:line="240" w:lineRule="auto"/>
                    <w:jc w:val="center"/>
                    <w:rPr>
                      <w:color w:val="FF0000"/>
                      <w:sz w:val="21"/>
                      <w:szCs w:val="21"/>
                    </w:rPr>
                  </w:pPr>
                  <w:r>
                    <w:rPr>
                      <w:rFonts w:hint="eastAsia"/>
                      <w:color w:val="FF0000"/>
                      <w:sz w:val="21"/>
                      <w:szCs w:val="21"/>
                      <w:lang w:val="en-US" w:eastAsia="zh-CN"/>
                    </w:rPr>
                    <w:t>喷粉</w:t>
                  </w:r>
                  <w:r>
                    <w:rPr>
                      <w:color w:val="FF0000"/>
                      <w:sz w:val="21"/>
                      <w:szCs w:val="21"/>
                    </w:rPr>
                    <w:t>车间面源</w:t>
                  </w:r>
                </w:p>
              </w:tc>
              <w:tc>
                <w:tcPr>
                  <w:tcW w:w="1200" w:type="dxa"/>
                  <w:noWrap w:val="0"/>
                  <w:vAlign w:val="center"/>
                </w:tcPr>
                <w:p>
                  <w:pPr>
                    <w:spacing w:line="240" w:lineRule="auto"/>
                    <w:jc w:val="center"/>
                    <w:rPr>
                      <w:rFonts w:hint="eastAsia"/>
                      <w:color w:val="FF0000"/>
                      <w:sz w:val="21"/>
                      <w:szCs w:val="21"/>
                    </w:rPr>
                  </w:pPr>
                  <w:r>
                    <w:rPr>
                      <w:color w:val="FF0000"/>
                      <w:sz w:val="21"/>
                      <w:szCs w:val="21"/>
                    </w:rPr>
                    <w:t>TSP</w:t>
                  </w:r>
                </w:p>
              </w:tc>
              <w:tc>
                <w:tcPr>
                  <w:tcW w:w="1307" w:type="dxa"/>
                  <w:noWrap w:val="0"/>
                  <w:vAlign w:val="center"/>
                </w:tcPr>
                <w:p>
                  <w:pPr>
                    <w:spacing w:line="240" w:lineRule="auto"/>
                    <w:jc w:val="center"/>
                    <w:rPr>
                      <w:color w:val="FF0000"/>
                      <w:sz w:val="21"/>
                      <w:szCs w:val="21"/>
                    </w:rPr>
                  </w:pPr>
                  <w:r>
                    <w:rPr>
                      <w:color w:val="FF0000"/>
                      <w:sz w:val="21"/>
                      <w:szCs w:val="21"/>
                    </w:rPr>
                    <w:t>900</w:t>
                  </w:r>
                </w:p>
              </w:tc>
              <w:tc>
                <w:tcPr>
                  <w:tcW w:w="1121" w:type="dxa"/>
                  <w:noWrap w:val="0"/>
                  <w:vAlign w:val="center"/>
                </w:tcPr>
                <w:p>
                  <w:pPr>
                    <w:spacing w:line="240" w:lineRule="auto"/>
                    <w:jc w:val="center"/>
                    <w:rPr>
                      <w:rFonts w:hint="default" w:eastAsia="宋体"/>
                      <w:color w:val="FF0000"/>
                      <w:sz w:val="21"/>
                      <w:szCs w:val="21"/>
                      <w:lang w:val="en-US" w:eastAsia="zh-CN"/>
                    </w:rPr>
                  </w:pPr>
                  <w:r>
                    <w:rPr>
                      <w:rFonts w:hint="eastAsia"/>
                      <w:color w:val="FF0000"/>
                      <w:sz w:val="21"/>
                      <w:szCs w:val="21"/>
                      <w:lang w:val="en-US" w:eastAsia="zh-CN"/>
                    </w:rPr>
                    <w:t>25</w:t>
                  </w:r>
                </w:p>
              </w:tc>
              <w:tc>
                <w:tcPr>
                  <w:tcW w:w="1120" w:type="dxa"/>
                  <w:noWrap w:val="0"/>
                  <w:vAlign w:val="center"/>
                </w:tcPr>
                <w:p>
                  <w:pPr>
                    <w:spacing w:line="240" w:lineRule="auto"/>
                    <w:jc w:val="center"/>
                    <w:rPr>
                      <w:rFonts w:hint="eastAsia"/>
                      <w:color w:val="FF0000"/>
                      <w:sz w:val="21"/>
                      <w:szCs w:val="21"/>
                    </w:rPr>
                  </w:pPr>
                  <w:r>
                    <w:rPr>
                      <w:rFonts w:hint="eastAsia"/>
                      <w:color w:val="FF0000"/>
                      <w:sz w:val="21"/>
                      <w:szCs w:val="21"/>
                    </w:rPr>
                    <w:t>1.01E-02</w:t>
                  </w:r>
                </w:p>
              </w:tc>
              <w:tc>
                <w:tcPr>
                  <w:tcW w:w="926" w:type="dxa"/>
                  <w:noWrap w:val="0"/>
                  <w:vAlign w:val="center"/>
                </w:tcPr>
                <w:p>
                  <w:pPr>
                    <w:spacing w:line="240" w:lineRule="auto"/>
                    <w:jc w:val="center"/>
                    <w:rPr>
                      <w:rFonts w:hint="eastAsia"/>
                      <w:color w:val="FF0000"/>
                      <w:sz w:val="21"/>
                      <w:szCs w:val="21"/>
                    </w:rPr>
                  </w:pPr>
                  <w:r>
                    <w:rPr>
                      <w:rFonts w:hint="eastAsia"/>
                      <w:color w:val="FF0000"/>
                      <w:sz w:val="21"/>
                      <w:szCs w:val="21"/>
                    </w:rPr>
                    <w:t>0.85</w:t>
                  </w:r>
                </w:p>
              </w:tc>
              <w:tc>
                <w:tcPr>
                  <w:tcW w:w="1086" w:type="dxa"/>
                  <w:noWrap w:val="0"/>
                  <w:vAlign w:val="center"/>
                </w:tcPr>
                <w:p>
                  <w:pPr>
                    <w:spacing w:line="240" w:lineRule="auto"/>
                    <w:jc w:val="center"/>
                    <w:rPr>
                      <w:color w:val="FF0000"/>
                      <w:sz w:val="21"/>
                      <w:szCs w:val="21"/>
                    </w:rPr>
                  </w:pPr>
                  <w:r>
                    <w:rPr>
                      <w:rFonts w:hint="eastAsia"/>
                      <w:color w:val="FF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jc w:val="center"/>
              </w:trPr>
              <w:tc>
                <w:tcPr>
                  <w:tcW w:w="1620" w:type="dxa"/>
                  <w:noWrap w:val="0"/>
                  <w:vAlign w:val="center"/>
                </w:tcPr>
                <w:p>
                  <w:pPr>
                    <w:spacing w:line="240" w:lineRule="auto"/>
                    <w:jc w:val="center"/>
                    <w:rPr>
                      <w:rFonts w:hint="eastAsia"/>
                      <w:color w:val="FF0000"/>
                      <w:sz w:val="21"/>
                      <w:szCs w:val="21"/>
                    </w:rPr>
                  </w:pPr>
                  <w:r>
                    <w:rPr>
                      <w:rFonts w:hint="eastAsia"/>
                      <w:color w:val="FF0000"/>
                      <w:sz w:val="21"/>
                      <w:szCs w:val="21"/>
                    </w:rPr>
                    <w:t>G1</w:t>
                  </w:r>
                </w:p>
              </w:tc>
              <w:tc>
                <w:tcPr>
                  <w:tcW w:w="1200" w:type="dxa"/>
                  <w:noWrap w:val="0"/>
                  <w:vAlign w:val="center"/>
                </w:tcPr>
                <w:p>
                  <w:pPr>
                    <w:spacing w:line="240" w:lineRule="auto"/>
                    <w:jc w:val="center"/>
                    <w:rPr>
                      <w:rFonts w:hint="eastAsia"/>
                      <w:color w:val="FF0000"/>
                      <w:sz w:val="21"/>
                      <w:szCs w:val="21"/>
                    </w:rPr>
                  </w:pPr>
                  <w:r>
                    <w:rPr>
                      <w:rFonts w:hint="eastAsia"/>
                      <w:color w:val="FF0000"/>
                      <w:sz w:val="21"/>
                      <w:szCs w:val="21"/>
                    </w:rPr>
                    <w:t>TSP</w:t>
                  </w:r>
                </w:p>
              </w:tc>
              <w:tc>
                <w:tcPr>
                  <w:tcW w:w="1307" w:type="dxa"/>
                  <w:noWrap w:val="0"/>
                  <w:vAlign w:val="center"/>
                </w:tcPr>
                <w:p>
                  <w:pPr>
                    <w:spacing w:line="240" w:lineRule="auto"/>
                    <w:jc w:val="center"/>
                    <w:rPr>
                      <w:color w:val="FF0000"/>
                      <w:sz w:val="21"/>
                      <w:szCs w:val="21"/>
                    </w:rPr>
                  </w:pPr>
                  <w:r>
                    <w:rPr>
                      <w:color w:val="FF0000"/>
                      <w:sz w:val="21"/>
                      <w:szCs w:val="21"/>
                    </w:rPr>
                    <w:t>900</w:t>
                  </w:r>
                </w:p>
              </w:tc>
              <w:tc>
                <w:tcPr>
                  <w:tcW w:w="1121" w:type="dxa"/>
                  <w:noWrap w:val="0"/>
                  <w:vAlign w:val="center"/>
                </w:tcPr>
                <w:p>
                  <w:pPr>
                    <w:spacing w:line="240" w:lineRule="auto"/>
                    <w:jc w:val="center"/>
                    <w:rPr>
                      <w:rFonts w:hint="default" w:eastAsia="宋体"/>
                      <w:color w:val="FF0000"/>
                      <w:sz w:val="21"/>
                      <w:szCs w:val="21"/>
                      <w:lang w:val="en-US" w:eastAsia="zh-CN"/>
                    </w:rPr>
                  </w:pPr>
                  <w:r>
                    <w:rPr>
                      <w:rFonts w:hint="eastAsia"/>
                      <w:color w:val="FF0000"/>
                      <w:sz w:val="21"/>
                      <w:szCs w:val="21"/>
                      <w:lang w:val="en-US" w:eastAsia="zh-CN"/>
                    </w:rPr>
                    <w:t>55</w:t>
                  </w:r>
                </w:p>
              </w:tc>
              <w:tc>
                <w:tcPr>
                  <w:tcW w:w="1120" w:type="dxa"/>
                  <w:noWrap w:val="0"/>
                  <w:vAlign w:val="center"/>
                </w:tcPr>
                <w:p>
                  <w:pPr>
                    <w:spacing w:line="240" w:lineRule="auto"/>
                    <w:jc w:val="center"/>
                    <w:rPr>
                      <w:rFonts w:hint="eastAsia"/>
                      <w:color w:val="FF0000"/>
                      <w:sz w:val="21"/>
                      <w:szCs w:val="21"/>
                    </w:rPr>
                  </w:pPr>
                  <w:r>
                    <w:rPr>
                      <w:rFonts w:hint="eastAsia"/>
                      <w:color w:val="FF0000"/>
                      <w:sz w:val="21"/>
                      <w:szCs w:val="21"/>
                    </w:rPr>
                    <w:t>3.79E-03</w:t>
                  </w:r>
                </w:p>
              </w:tc>
              <w:tc>
                <w:tcPr>
                  <w:tcW w:w="926" w:type="dxa"/>
                  <w:noWrap w:val="0"/>
                  <w:vAlign w:val="center"/>
                </w:tcPr>
                <w:p>
                  <w:pPr>
                    <w:spacing w:line="240" w:lineRule="auto"/>
                    <w:jc w:val="center"/>
                    <w:rPr>
                      <w:rFonts w:hint="default" w:eastAsia="宋体"/>
                      <w:color w:val="FF0000"/>
                      <w:sz w:val="21"/>
                      <w:szCs w:val="21"/>
                      <w:lang w:val="en-US" w:eastAsia="zh-CN"/>
                    </w:rPr>
                  </w:pPr>
                  <w:r>
                    <w:rPr>
                      <w:rFonts w:hint="eastAsia"/>
                      <w:color w:val="FF0000"/>
                      <w:sz w:val="21"/>
                      <w:szCs w:val="21"/>
                      <w:lang w:val="en-US" w:eastAsia="zh-CN"/>
                    </w:rPr>
                    <w:t>0.42</w:t>
                  </w:r>
                </w:p>
              </w:tc>
              <w:tc>
                <w:tcPr>
                  <w:tcW w:w="1086" w:type="dxa"/>
                  <w:noWrap w:val="0"/>
                  <w:vAlign w:val="center"/>
                </w:tcPr>
                <w:p>
                  <w:pPr>
                    <w:spacing w:line="240" w:lineRule="auto"/>
                    <w:jc w:val="center"/>
                    <w:rPr>
                      <w:color w:val="FF0000"/>
                      <w:sz w:val="21"/>
                      <w:szCs w:val="21"/>
                    </w:rPr>
                  </w:pPr>
                  <w:r>
                    <w:rPr>
                      <w:rFonts w:hint="eastAsia"/>
                      <w:color w:val="FF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jc w:val="center"/>
              </w:trPr>
              <w:tc>
                <w:tcPr>
                  <w:tcW w:w="1620" w:type="dxa"/>
                  <w:vMerge w:val="restart"/>
                  <w:noWrap w:val="0"/>
                  <w:vAlign w:val="center"/>
                </w:tcPr>
                <w:p>
                  <w:pPr>
                    <w:spacing w:line="240" w:lineRule="auto"/>
                    <w:jc w:val="center"/>
                    <w:rPr>
                      <w:rFonts w:hint="eastAsia"/>
                      <w:color w:val="FF0000"/>
                      <w:sz w:val="21"/>
                      <w:szCs w:val="21"/>
                    </w:rPr>
                  </w:pPr>
                  <w:r>
                    <w:rPr>
                      <w:rFonts w:hint="eastAsia"/>
                      <w:color w:val="FF0000"/>
                      <w:sz w:val="21"/>
                      <w:szCs w:val="21"/>
                    </w:rPr>
                    <w:t>G2</w:t>
                  </w:r>
                </w:p>
              </w:tc>
              <w:tc>
                <w:tcPr>
                  <w:tcW w:w="1200" w:type="dxa"/>
                  <w:noWrap w:val="0"/>
                  <w:vAlign w:val="center"/>
                </w:tcPr>
                <w:p>
                  <w:pPr>
                    <w:spacing w:line="240" w:lineRule="auto"/>
                    <w:jc w:val="center"/>
                    <w:rPr>
                      <w:rFonts w:hint="eastAsia"/>
                      <w:color w:val="FF0000"/>
                      <w:sz w:val="21"/>
                      <w:szCs w:val="21"/>
                    </w:rPr>
                  </w:pPr>
                  <w:r>
                    <w:rPr>
                      <w:rFonts w:hint="eastAsia"/>
                      <w:color w:val="FF0000"/>
                      <w:sz w:val="21"/>
                      <w:szCs w:val="21"/>
                    </w:rPr>
                    <w:t>V</w:t>
                  </w:r>
                  <w:r>
                    <w:rPr>
                      <w:color w:val="FF0000"/>
                      <w:sz w:val="21"/>
                      <w:szCs w:val="21"/>
                    </w:rPr>
                    <w:t>OCs</w:t>
                  </w:r>
                </w:p>
              </w:tc>
              <w:tc>
                <w:tcPr>
                  <w:tcW w:w="1307" w:type="dxa"/>
                  <w:noWrap w:val="0"/>
                  <w:vAlign w:val="center"/>
                </w:tcPr>
                <w:p>
                  <w:pPr>
                    <w:spacing w:line="240" w:lineRule="auto"/>
                    <w:jc w:val="center"/>
                    <w:rPr>
                      <w:color w:val="FF0000"/>
                      <w:sz w:val="21"/>
                      <w:szCs w:val="21"/>
                    </w:rPr>
                  </w:pPr>
                  <w:r>
                    <w:rPr>
                      <w:rFonts w:hint="eastAsia"/>
                      <w:color w:val="FF0000"/>
                      <w:sz w:val="21"/>
                      <w:szCs w:val="21"/>
                      <w:lang w:val="en-US" w:eastAsia="zh-CN"/>
                    </w:rPr>
                    <w:t>12</w:t>
                  </w:r>
                  <w:r>
                    <w:rPr>
                      <w:color w:val="FF0000"/>
                      <w:sz w:val="21"/>
                      <w:szCs w:val="21"/>
                    </w:rPr>
                    <w:t>00</w:t>
                  </w:r>
                </w:p>
              </w:tc>
              <w:tc>
                <w:tcPr>
                  <w:tcW w:w="1121" w:type="dxa"/>
                  <w:noWrap w:val="0"/>
                  <w:vAlign w:val="center"/>
                </w:tcPr>
                <w:p>
                  <w:pPr>
                    <w:spacing w:line="240" w:lineRule="auto"/>
                    <w:jc w:val="center"/>
                    <w:rPr>
                      <w:rFonts w:hint="default" w:eastAsia="宋体"/>
                      <w:color w:val="FF0000"/>
                      <w:sz w:val="21"/>
                      <w:szCs w:val="21"/>
                      <w:lang w:val="en-US" w:eastAsia="zh-CN"/>
                    </w:rPr>
                  </w:pPr>
                  <w:r>
                    <w:rPr>
                      <w:rFonts w:hint="eastAsia"/>
                      <w:color w:val="FF0000"/>
                      <w:sz w:val="21"/>
                      <w:szCs w:val="21"/>
                      <w:lang w:val="en-US" w:eastAsia="zh-CN"/>
                    </w:rPr>
                    <w:t>21</w:t>
                  </w:r>
                </w:p>
              </w:tc>
              <w:tc>
                <w:tcPr>
                  <w:tcW w:w="1120" w:type="dxa"/>
                  <w:noWrap w:val="0"/>
                  <w:vAlign w:val="center"/>
                </w:tcPr>
                <w:p>
                  <w:pPr>
                    <w:spacing w:line="240" w:lineRule="auto"/>
                    <w:jc w:val="center"/>
                    <w:rPr>
                      <w:rFonts w:hint="eastAsia"/>
                      <w:color w:val="FF0000"/>
                      <w:sz w:val="21"/>
                      <w:szCs w:val="21"/>
                    </w:rPr>
                  </w:pPr>
                  <w:r>
                    <w:rPr>
                      <w:rFonts w:hint="eastAsia"/>
                      <w:color w:val="FF0000"/>
                      <w:sz w:val="21"/>
                      <w:szCs w:val="21"/>
                    </w:rPr>
                    <w:t>1.54E-04</w:t>
                  </w:r>
                </w:p>
              </w:tc>
              <w:tc>
                <w:tcPr>
                  <w:tcW w:w="926" w:type="dxa"/>
                  <w:noWrap w:val="0"/>
                  <w:vAlign w:val="center"/>
                </w:tcPr>
                <w:p>
                  <w:pPr>
                    <w:spacing w:line="240" w:lineRule="auto"/>
                    <w:jc w:val="center"/>
                    <w:rPr>
                      <w:rFonts w:hint="eastAsia"/>
                      <w:color w:val="FF0000"/>
                      <w:sz w:val="21"/>
                      <w:szCs w:val="21"/>
                    </w:rPr>
                  </w:pPr>
                  <w:r>
                    <w:rPr>
                      <w:rFonts w:hint="eastAsia"/>
                      <w:color w:val="FF0000"/>
                      <w:sz w:val="21"/>
                      <w:szCs w:val="21"/>
                    </w:rPr>
                    <w:t>0.01</w:t>
                  </w:r>
                </w:p>
              </w:tc>
              <w:tc>
                <w:tcPr>
                  <w:tcW w:w="1086" w:type="dxa"/>
                  <w:noWrap w:val="0"/>
                  <w:vAlign w:val="center"/>
                </w:tcPr>
                <w:p>
                  <w:pPr>
                    <w:spacing w:line="240" w:lineRule="auto"/>
                    <w:jc w:val="center"/>
                    <w:rPr>
                      <w:color w:val="FF0000"/>
                      <w:sz w:val="21"/>
                      <w:szCs w:val="21"/>
                    </w:rPr>
                  </w:pPr>
                  <w:r>
                    <w:rPr>
                      <w:color w:val="FF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jc w:val="center"/>
              </w:trPr>
              <w:tc>
                <w:tcPr>
                  <w:tcW w:w="1620" w:type="dxa"/>
                  <w:vMerge w:val="continue"/>
                  <w:tcBorders/>
                  <w:noWrap w:val="0"/>
                  <w:vAlign w:val="center"/>
                </w:tcPr>
                <w:p>
                  <w:pPr>
                    <w:spacing w:line="240" w:lineRule="auto"/>
                    <w:jc w:val="center"/>
                    <w:rPr>
                      <w:rFonts w:hint="eastAsia"/>
                      <w:color w:val="FF0000"/>
                      <w:sz w:val="21"/>
                      <w:szCs w:val="21"/>
                    </w:rPr>
                  </w:pPr>
                </w:p>
              </w:tc>
              <w:tc>
                <w:tcPr>
                  <w:tcW w:w="1200" w:type="dxa"/>
                  <w:noWrap w:val="0"/>
                  <w:vAlign w:val="center"/>
                </w:tcPr>
                <w:p>
                  <w:pPr>
                    <w:spacing w:line="240" w:lineRule="auto"/>
                    <w:jc w:val="center"/>
                    <w:rPr>
                      <w:rFonts w:hint="eastAsia"/>
                      <w:color w:val="FF0000"/>
                      <w:sz w:val="21"/>
                      <w:szCs w:val="21"/>
                    </w:rPr>
                  </w:pPr>
                  <w:r>
                    <w:rPr>
                      <w:rFonts w:hint="eastAsia"/>
                      <w:color w:val="FF0000"/>
                      <w:sz w:val="21"/>
                      <w:szCs w:val="21"/>
                    </w:rPr>
                    <w:t>TSP</w:t>
                  </w:r>
                </w:p>
              </w:tc>
              <w:tc>
                <w:tcPr>
                  <w:tcW w:w="1307" w:type="dxa"/>
                  <w:noWrap w:val="0"/>
                  <w:vAlign w:val="center"/>
                </w:tcPr>
                <w:p>
                  <w:pPr>
                    <w:spacing w:line="240" w:lineRule="auto"/>
                    <w:jc w:val="center"/>
                    <w:rPr>
                      <w:color w:val="FF0000"/>
                      <w:sz w:val="21"/>
                      <w:szCs w:val="21"/>
                    </w:rPr>
                  </w:pPr>
                  <w:r>
                    <w:rPr>
                      <w:color w:val="FF0000"/>
                      <w:sz w:val="21"/>
                      <w:szCs w:val="21"/>
                    </w:rPr>
                    <w:t>900</w:t>
                  </w:r>
                </w:p>
              </w:tc>
              <w:tc>
                <w:tcPr>
                  <w:tcW w:w="1121" w:type="dxa"/>
                  <w:noWrap w:val="0"/>
                  <w:vAlign w:val="center"/>
                </w:tcPr>
                <w:p>
                  <w:pPr>
                    <w:spacing w:line="240" w:lineRule="auto"/>
                    <w:jc w:val="center"/>
                    <w:rPr>
                      <w:rFonts w:hint="default" w:eastAsia="宋体"/>
                      <w:color w:val="FF0000"/>
                      <w:sz w:val="21"/>
                      <w:szCs w:val="21"/>
                      <w:lang w:val="en-US" w:eastAsia="zh-CN"/>
                    </w:rPr>
                  </w:pPr>
                  <w:r>
                    <w:rPr>
                      <w:rFonts w:hint="eastAsia"/>
                      <w:color w:val="FF0000"/>
                      <w:sz w:val="21"/>
                      <w:szCs w:val="21"/>
                      <w:lang w:val="en-US" w:eastAsia="zh-CN"/>
                    </w:rPr>
                    <w:t>21</w:t>
                  </w:r>
                </w:p>
              </w:tc>
              <w:tc>
                <w:tcPr>
                  <w:tcW w:w="1120" w:type="dxa"/>
                  <w:noWrap w:val="0"/>
                  <w:vAlign w:val="center"/>
                </w:tcPr>
                <w:p>
                  <w:pPr>
                    <w:spacing w:line="240" w:lineRule="auto"/>
                    <w:jc w:val="center"/>
                    <w:rPr>
                      <w:rFonts w:hint="eastAsia"/>
                      <w:color w:val="FF0000"/>
                      <w:sz w:val="21"/>
                      <w:szCs w:val="21"/>
                    </w:rPr>
                  </w:pPr>
                  <w:r>
                    <w:rPr>
                      <w:rFonts w:hint="eastAsia"/>
                      <w:color w:val="FF0000"/>
                      <w:sz w:val="21"/>
                      <w:szCs w:val="21"/>
                    </w:rPr>
                    <w:t>1.71E-05</w:t>
                  </w:r>
                </w:p>
              </w:tc>
              <w:tc>
                <w:tcPr>
                  <w:tcW w:w="926" w:type="dxa"/>
                  <w:noWrap w:val="0"/>
                  <w:vAlign w:val="center"/>
                </w:tcPr>
                <w:p>
                  <w:pPr>
                    <w:spacing w:line="240" w:lineRule="auto"/>
                    <w:jc w:val="center"/>
                    <w:rPr>
                      <w:rFonts w:hint="default" w:eastAsia="宋体"/>
                      <w:color w:val="FF0000"/>
                      <w:sz w:val="21"/>
                      <w:szCs w:val="21"/>
                      <w:lang w:val="en-US" w:eastAsia="zh-CN"/>
                    </w:rPr>
                  </w:pPr>
                  <w:r>
                    <w:rPr>
                      <w:rFonts w:hint="eastAsia"/>
                      <w:color w:val="FF0000"/>
                      <w:sz w:val="21"/>
                      <w:szCs w:val="21"/>
                      <w:lang w:val="en-US" w:eastAsia="zh-CN"/>
                    </w:rPr>
                    <w:t>0.00</w:t>
                  </w:r>
                </w:p>
              </w:tc>
              <w:tc>
                <w:tcPr>
                  <w:tcW w:w="1086" w:type="dxa"/>
                  <w:noWrap w:val="0"/>
                  <w:vAlign w:val="center"/>
                </w:tcPr>
                <w:p>
                  <w:pPr>
                    <w:spacing w:line="240" w:lineRule="auto"/>
                    <w:jc w:val="center"/>
                    <w:rPr>
                      <w:color w:val="FF0000"/>
                      <w:sz w:val="21"/>
                      <w:szCs w:val="21"/>
                    </w:rPr>
                  </w:pPr>
                  <w:r>
                    <w:rPr>
                      <w:color w:val="FF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jc w:val="center"/>
              </w:trPr>
              <w:tc>
                <w:tcPr>
                  <w:tcW w:w="1620" w:type="dxa"/>
                  <w:vMerge w:val="continue"/>
                  <w:tcBorders/>
                  <w:noWrap w:val="0"/>
                  <w:vAlign w:val="center"/>
                </w:tcPr>
                <w:p>
                  <w:pPr>
                    <w:spacing w:line="240" w:lineRule="auto"/>
                    <w:jc w:val="center"/>
                    <w:rPr>
                      <w:rFonts w:hint="eastAsia"/>
                      <w:color w:val="FF0000"/>
                      <w:sz w:val="21"/>
                      <w:szCs w:val="21"/>
                    </w:rPr>
                  </w:pPr>
                </w:p>
              </w:tc>
              <w:tc>
                <w:tcPr>
                  <w:tcW w:w="1200" w:type="dxa"/>
                  <w:noWrap w:val="0"/>
                  <w:vAlign w:val="center"/>
                </w:tcPr>
                <w:p>
                  <w:pPr>
                    <w:spacing w:line="240" w:lineRule="auto"/>
                    <w:jc w:val="center"/>
                    <w:rPr>
                      <w:rFonts w:hint="eastAsia"/>
                      <w:color w:val="FF0000"/>
                      <w:sz w:val="21"/>
                      <w:szCs w:val="21"/>
                    </w:rPr>
                  </w:pPr>
                  <w:r>
                    <w:rPr>
                      <w:rFonts w:hint="eastAsia"/>
                      <w:color w:val="FF0000"/>
                      <w:sz w:val="21"/>
                      <w:szCs w:val="21"/>
                    </w:rPr>
                    <w:t>SO</w:t>
                  </w:r>
                  <w:r>
                    <w:rPr>
                      <w:rFonts w:hint="eastAsia"/>
                      <w:color w:val="FF0000"/>
                      <w:sz w:val="21"/>
                      <w:szCs w:val="21"/>
                      <w:vertAlign w:val="subscript"/>
                    </w:rPr>
                    <w:t>2</w:t>
                  </w:r>
                </w:p>
              </w:tc>
              <w:tc>
                <w:tcPr>
                  <w:tcW w:w="1307" w:type="dxa"/>
                  <w:noWrap w:val="0"/>
                  <w:vAlign w:val="center"/>
                </w:tcPr>
                <w:p>
                  <w:pPr>
                    <w:spacing w:line="240" w:lineRule="auto"/>
                    <w:jc w:val="center"/>
                    <w:rPr>
                      <w:rFonts w:hint="eastAsia"/>
                      <w:color w:val="FF0000"/>
                      <w:sz w:val="21"/>
                      <w:szCs w:val="21"/>
                    </w:rPr>
                  </w:pPr>
                  <w:r>
                    <w:rPr>
                      <w:rFonts w:hint="eastAsia"/>
                      <w:color w:val="FF0000"/>
                      <w:sz w:val="21"/>
                      <w:szCs w:val="21"/>
                    </w:rPr>
                    <w:t>500</w:t>
                  </w:r>
                </w:p>
              </w:tc>
              <w:tc>
                <w:tcPr>
                  <w:tcW w:w="1121" w:type="dxa"/>
                  <w:noWrap w:val="0"/>
                  <w:vAlign w:val="center"/>
                </w:tcPr>
                <w:p>
                  <w:pPr>
                    <w:spacing w:line="240" w:lineRule="auto"/>
                    <w:jc w:val="center"/>
                    <w:rPr>
                      <w:rFonts w:hint="eastAsia"/>
                      <w:color w:val="FF0000"/>
                      <w:sz w:val="21"/>
                      <w:szCs w:val="21"/>
                    </w:rPr>
                  </w:pPr>
                  <w:r>
                    <w:rPr>
                      <w:rFonts w:hint="eastAsia"/>
                      <w:color w:val="FF0000"/>
                      <w:sz w:val="21"/>
                      <w:szCs w:val="21"/>
                      <w:lang w:val="en-US" w:eastAsia="zh-CN"/>
                    </w:rPr>
                    <w:t>21</w:t>
                  </w:r>
                </w:p>
              </w:tc>
              <w:tc>
                <w:tcPr>
                  <w:tcW w:w="1120" w:type="dxa"/>
                  <w:noWrap w:val="0"/>
                  <w:vAlign w:val="center"/>
                </w:tcPr>
                <w:p>
                  <w:pPr>
                    <w:spacing w:line="240" w:lineRule="auto"/>
                    <w:jc w:val="center"/>
                    <w:rPr>
                      <w:rFonts w:hint="eastAsia"/>
                      <w:color w:val="FF0000"/>
                      <w:sz w:val="21"/>
                      <w:szCs w:val="21"/>
                    </w:rPr>
                  </w:pPr>
                  <w:r>
                    <w:rPr>
                      <w:rFonts w:hint="eastAsia"/>
                      <w:color w:val="FF0000"/>
                      <w:sz w:val="21"/>
                      <w:szCs w:val="21"/>
                    </w:rPr>
                    <w:t>6.85E-08</w:t>
                  </w:r>
                </w:p>
              </w:tc>
              <w:tc>
                <w:tcPr>
                  <w:tcW w:w="926" w:type="dxa"/>
                  <w:noWrap w:val="0"/>
                  <w:vAlign w:val="center"/>
                </w:tcPr>
                <w:p>
                  <w:pPr>
                    <w:spacing w:line="240" w:lineRule="auto"/>
                    <w:jc w:val="center"/>
                    <w:rPr>
                      <w:rFonts w:hint="default" w:eastAsia="宋体"/>
                      <w:color w:val="FF0000"/>
                      <w:sz w:val="21"/>
                      <w:szCs w:val="21"/>
                      <w:lang w:val="en-US" w:eastAsia="zh-CN"/>
                    </w:rPr>
                  </w:pPr>
                  <w:r>
                    <w:rPr>
                      <w:rFonts w:hint="eastAsia"/>
                      <w:color w:val="FF0000"/>
                      <w:sz w:val="21"/>
                      <w:szCs w:val="21"/>
                      <w:lang w:val="en-US" w:eastAsia="zh-CN"/>
                    </w:rPr>
                    <w:t>0.00</w:t>
                  </w:r>
                </w:p>
              </w:tc>
              <w:tc>
                <w:tcPr>
                  <w:tcW w:w="1086" w:type="dxa"/>
                  <w:noWrap w:val="0"/>
                  <w:vAlign w:val="center"/>
                </w:tcPr>
                <w:p>
                  <w:pPr>
                    <w:spacing w:line="240" w:lineRule="auto"/>
                    <w:jc w:val="center"/>
                    <w:rPr>
                      <w:color w:val="FF0000"/>
                      <w:sz w:val="21"/>
                      <w:szCs w:val="21"/>
                    </w:rPr>
                  </w:pPr>
                  <w:r>
                    <w:rPr>
                      <w:rFonts w:hint="eastAsia"/>
                      <w:color w:val="FF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8" w:hRule="atLeast"/>
                <w:jc w:val="center"/>
              </w:trPr>
              <w:tc>
                <w:tcPr>
                  <w:tcW w:w="1620" w:type="dxa"/>
                  <w:vMerge w:val="continue"/>
                  <w:tcBorders/>
                  <w:noWrap w:val="0"/>
                  <w:vAlign w:val="center"/>
                </w:tcPr>
                <w:p>
                  <w:pPr>
                    <w:spacing w:line="240" w:lineRule="auto"/>
                    <w:jc w:val="center"/>
                    <w:rPr>
                      <w:rFonts w:hint="eastAsia"/>
                      <w:color w:val="FF0000"/>
                      <w:sz w:val="21"/>
                      <w:szCs w:val="21"/>
                    </w:rPr>
                  </w:pPr>
                </w:p>
              </w:tc>
              <w:tc>
                <w:tcPr>
                  <w:tcW w:w="1200" w:type="dxa"/>
                  <w:noWrap w:val="0"/>
                  <w:vAlign w:val="center"/>
                </w:tcPr>
                <w:p>
                  <w:pPr>
                    <w:spacing w:line="240" w:lineRule="auto"/>
                    <w:jc w:val="center"/>
                    <w:rPr>
                      <w:rFonts w:hint="eastAsia"/>
                      <w:color w:val="FF0000"/>
                      <w:sz w:val="21"/>
                      <w:szCs w:val="21"/>
                    </w:rPr>
                  </w:pPr>
                  <w:r>
                    <w:rPr>
                      <w:rFonts w:hint="eastAsia"/>
                      <w:color w:val="FF0000"/>
                      <w:sz w:val="21"/>
                      <w:szCs w:val="21"/>
                    </w:rPr>
                    <w:t>NO</w:t>
                  </w:r>
                  <w:r>
                    <w:rPr>
                      <w:rFonts w:hint="eastAsia"/>
                      <w:color w:val="FF0000"/>
                      <w:sz w:val="21"/>
                      <w:szCs w:val="21"/>
                      <w:vertAlign w:val="subscript"/>
                    </w:rPr>
                    <w:t>X</w:t>
                  </w:r>
                </w:p>
              </w:tc>
              <w:tc>
                <w:tcPr>
                  <w:tcW w:w="1307" w:type="dxa"/>
                  <w:noWrap w:val="0"/>
                  <w:vAlign w:val="center"/>
                </w:tcPr>
                <w:p>
                  <w:pPr>
                    <w:spacing w:line="240" w:lineRule="auto"/>
                    <w:jc w:val="center"/>
                    <w:rPr>
                      <w:rFonts w:hint="eastAsia"/>
                      <w:color w:val="FF0000"/>
                      <w:sz w:val="21"/>
                      <w:szCs w:val="21"/>
                    </w:rPr>
                  </w:pPr>
                  <w:r>
                    <w:rPr>
                      <w:rFonts w:hint="eastAsia"/>
                      <w:color w:val="FF0000"/>
                      <w:sz w:val="21"/>
                      <w:szCs w:val="21"/>
                    </w:rPr>
                    <w:t>250</w:t>
                  </w:r>
                </w:p>
              </w:tc>
              <w:tc>
                <w:tcPr>
                  <w:tcW w:w="1121" w:type="dxa"/>
                  <w:noWrap w:val="0"/>
                  <w:vAlign w:val="center"/>
                </w:tcPr>
                <w:p>
                  <w:pPr>
                    <w:spacing w:line="240" w:lineRule="auto"/>
                    <w:jc w:val="center"/>
                    <w:rPr>
                      <w:rFonts w:hint="eastAsia"/>
                      <w:color w:val="FF0000"/>
                      <w:sz w:val="21"/>
                      <w:szCs w:val="21"/>
                    </w:rPr>
                  </w:pPr>
                  <w:r>
                    <w:rPr>
                      <w:rFonts w:hint="eastAsia"/>
                      <w:color w:val="FF0000"/>
                      <w:sz w:val="21"/>
                      <w:szCs w:val="21"/>
                      <w:lang w:val="en-US" w:eastAsia="zh-CN"/>
                    </w:rPr>
                    <w:t>21</w:t>
                  </w:r>
                </w:p>
              </w:tc>
              <w:tc>
                <w:tcPr>
                  <w:tcW w:w="1120" w:type="dxa"/>
                  <w:noWrap w:val="0"/>
                  <w:vAlign w:val="center"/>
                </w:tcPr>
                <w:p>
                  <w:pPr>
                    <w:spacing w:line="240" w:lineRule="auto"/>
                    <w:jc w:val="center"/>
                    <w:rPr>
                      <w:rFonts w:hint="eastAsia"/>
                      <w:color w:val="FF0000"/>
                      <w:sz w:val="21"/>
                      <w:szCs w:val="21"/>
                    </w:rPr>
                  </w:pPr>
                  <w:r>
                    <w:rPr>
                      <w:rFonts w:hint="eastAsia"/>
                      <w:color w:val="FF0000"/>
                      <w:sz w:val="21"/>
                      <w:szCs w:val="21"/>
                    </w:rPr>
                    <w:t>4.45E-05</w:t>
                  </w:r>
                </w:p>
              </w:tc>
              <w:tc>
                <w:tcPr>
                  <w:tcW w:w="926" w:type="dxa"/>
                  <w:noWrap w:val="0"/>
                  <w:vAlign w:val="center"/>
                </w:tcPr>
                <w:p>
                  <w:pPr>
                    <w:spacing w:line="240" w:lineRule="auto"/>
                    <w:jc w:val="center"/>
                    <w:rPr>
                      <w:rFonts w:hint="eastAsia"/>
                      <w:color w:val="FF0000"/>
                      <w:sz w:val="21"/>
                      <w:szCs w:val="21"/>
                    </w:rPr>
                  </w:pPr>
                  <w:r>
                    <w:rPr>
                      <w:rFonts w:hint="eastAsia"/>
                      <w:color w:val="FF0000"/>
                      <w:sz w:val="21"/>
                      <w:szCs w:val="21"/>
                    </w:rPr>
                    <w:t>0.02</w:t>
                  </w:r>
                </w:p>
              </w:tc>
              <w:tc>
                <w:tcPr>
                  <w:tcW w:w="1086" w:type="dxa"/>
                  <w:noWrap w:val="0"/>
                  <w:vAlign w:val="center"/>
                </w:tcPr>
                <w:p>
                  <w:pPr>
                    <w:spacing w:line="240" w:lineRule="auto"/>
                    <w:jc w:val="center"/>
                    <w:rPr>
                      <w:color w:val="FF0000"/>
                      <w:sz w:val="21"/>
                      <w:szCs w:val="21"/>
                    </w:rPr>
                  </w:pPr>
                  <w:r>
                    <w:rPr>
                      <w:rFonts w:hint="eastAsia"/>
                      <w:color w:val="FF0000"/>
                      <w:sz w:val="21"/>
                      <w:szCs w:val="21"/>
                    </w:rPr>
                    <w:t>/</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bCs/>
                <w:sz w:val="24"/>
              </w:rPr>
            </w:pPr>
            <w:r>
              <w:rPr>
                <w:bCs/>
                <w:color w:val="FF0000"/>
                <w:sz w:val="24"/>
              </w:rPr>
              <w:t>根据表</w:t>
            </w:r>
            <w:r>
              <w:rPr>
                <w:rFonts w:hint="eastAsia"/>
                <w:bCs/>
                <w:color w:val="FF0000"/>
                <w:sz w:val="24"/>
              </w:rPr>
              <w:t>7-12</w:t>
            </w:r>
            <w:r>
              <w:rPr>
                <w:bCs/>
                <w:color w:val="FF0000"/>
                <w:sz w:val="24"/>
              </w:rPr>
              <w:t>计算结果可知，项目P</w:t>
            </w:r>
            <w:r>
              <w:rPr>
                <w:bCs/>
                <w:color w:val="FF0000"/>
                <w:sz w:val="24"/>
                <w:vertAlign w:val="subscript"/>
              </w:rPr>
              <w:t>max</w:t>
            </w:r>
            <w:r>
              <w:rPr>
                <w:bCs/>
                <w:color w:val="FF0000"/>
                <w:sz w:val="24"/>
              </w:rPr>
              <w:t>最大值出现为</w:t>
            </w:r>
            <w:r>
              <w:rPr>
                <w:rFonts w:hint="eastAsia"/>
                <w:bCs/>
                <w:color w:val="FF0000"/>
                <w:sz w:val="24"/>
                <w:lang w:val="en-US" w:eastAsia="zh-CN"/>
              </w:rPr>
              <w:t>喷粉</w:t>
            </w:r>
            <w:r>
              <w:rPr>
                <w:rFonts w:hint="eastAsia"/>
                <w:bCs/>
                <w:color w:val="FF0000"/>
                <w:sz w:val="24"/>
              </w:rPr>
              <w:t>车间面源</w:t>
            </w:r>
            <w:r>
              <w:rPr>
                <w:bCs/>
                <w:color w:val="FF0000"/>
                <w:sz w:val="24"/>
              </w:rPr>
              <w:t>排放的</w:t>
            </w:r>
            <w:r>
              <w:rPr>
                <w:rFonts w:hint="eastAsia"/>
                <w:bCs/>
                <w:color w:val="FF0000"/>
                <w:sz w:val="24"/>
                <w:lang w:val="en-US" w:eastAsia="zh-CN"/>
              </w:rPr>
              <w:t>TSP</w:t>
            </w:r>
            <w:r>
              <w:rPr>
                <w:bCs/>
                <w:color w:val="FF0000"/>
                <w:sz w:val="24"/>
              </w:rPr>
              <w:t>，P</w:t>
            </w:r>
            <w:r>
              <w:rPr>
                <w:bCs/>
                <w:color w:val="FF0000"/>
                <w:sz w:val="24"/>
                <w:vertAlign w:val="subscript"/>
              </w:rPr>
              <w:t>max</w:t>
            </w:r>
            <w:r>
              <w:rPr>
                <w:bCs/>
                <w:color w:val="FF0000"/>
                <w:sz w:val="24"/>
              </w:rPr>
              <w:t>值为</w:t>
            </w:r>
            <w:r>
              <w:rPr>
                <w:rFonts w:hint="eastAsia"/>
                <w:bCs/>
                <w:color w:val="FF0000"/>
                <w:sz w:val="24"/>
              </w:rPr>
              <w:t>0.8</w:t>
            </w:r>
            <w:r>
              <w:rPr>
                <w:rFonts w:hint="eastAsia"/>
                <w:bCs/>
                <w:color w:val="FF0000"/>
                <w:sz w:val="24"/>
                <w:lang w:val="en-US" w:eastAsia="zh-CN"/>
              </w:rPr>
              <w:t>5</w:t>
            </w:r>
            <w:r>
              <w:rPr>
                <w:bCs/>
                <w:color w:val="FF0000"/>
                <w:sz w:val="24"/>
              </w:rPr>
              <w:t>%，C</w:t>
            </w:r>
            <w:r>
              <w:rPr>
                <w:bCs/>
                <w:color w:val="FF0000"/>
                <w:sz w:val="24"/>
                <w:vertAlign w:val="subscript"/>
              </w:rPr>
              <w:t>max</w:t>
            </w:r>
            <w:r>
              <w:rPr>
                <w:bCs/>
                <w:color w:val="FF0000"/>
                <w:sz w:val="24"/>
              </w:rPr>
              <w:t>为</w:t>
            </w:r>
            <w:r>
              <w:rPr>
                <w:rFonts w:hint="eastAsia"/>
                <w:bCs/>
                <w:color w:val="FF0000"/>
                <w:sz w:val="24"/>
              </w:rPr>
              <w:t>1.01E-02</w:t>
            </w:r>
            <w:r>
              <w:rPr>
                <w:bCs/>
                <w:color w:val="FF0000"/>
                <w:sz w:val="24"/>
              </w:rPr>
              <w:t>μg/m</w:t>
            </w:r>
            <w:r>
              <w:rPr>
                <w:bCs/>
                <w:color w:val="FF0000"/>
                <w:sz w:val="24"/>
                <w:vertAlign w:val="superscript"/>
              </w:rPr>
              <w:t>3</w:t>
            </w:r>
            <w:r>
              <w:rPr>
                <w:bCs/>
                <w:color w:val="FF0000"/>
                <w:sz w:val="24"/>
              </w:rPr>
              <w:t>。根据《环境影响评价技术导则大气环境》（HJ2.2-2018）分级判据，确定本项目大气环境影响评价工作等级为</w:t>
            </w:r>
            <w:r>
              <w:rPr>
                <w:rFonts w:hint="eastAsia"/>
                <w:bCs/>
                <w:color w:val="FF0000"/>
                <w:sz w:val="24"/>
              </w:rPr>
              <w:t>三</w:t>
            </w:r>
            <w:r>
              <w:rPr>
                <w:bCs/>
                <w:color w:val="FF0000"/>
                <w:sz w:val="24"/>
              </w:rPr>
              <w:t>级。</w:t>
            </w:r>
          </w:p>
          <w:p>
            <w:pPr>
              <w:spacing w:line="360" w:lineRule="auto"/>
              <w:ind w:firstLine="482" w:firstLineChars="200"/>
              <w:rPr>
                <w:bCs/>
                <w:sz w:val="24"/>
              </w:rPr>
            </w:pPr>
            <w:r>
              <w:rPr>
                <w:b/>
                <w:sz w:val="24"/>
              </w:rPr>
              <w:t>（</w:t>
            </w:r>
            <w:r>
              <w:rPr>
                <w:rFonts w:hint="eastAsia"/>
                <w:b/>
                <w:sz w:val="24"/>
              </w:rPr>
              <w:t>5</w:t>
            </w:r>
            <w:r>
              <w:rPr>
                <w:b/>
                <w:sz w:val="24"/>
              </w:rPr>
              <w:t>）大气环境影响预测与评价</w:t>
            </w:r>
          </w:p>
          <w:p>
            <w:pPr>
              <w:spacing w:line="360" w:lineRule="auto"/>
              <w:ind w:firstLine="480" w:firstLineChars="200"/>
              <w:rPr>
                <w:bCs/>
                <w:sz w:val="24"/>
                <w:lang w:val="zh-CN"/>
              </w:rPr>
            </w:pPr>
            <w:r>
              <w:rPr>
                <w:bCs/>
                <w:sz w:val="24"/>
              </w:rPr>
              <w:t>根据估算模式预测结果，本项目大气环境影响评价工作等级为</w:t>
            </w:r>
            <w:r>
              <w:rPr>
                <w:rFonts w:hint="eastAsia"/>
                <w:bCs/>
                <w:sz w:val="24"/>
              </w:rPr>
              <w:t>三</w:t>
            </w:r>
            <w:r>
              <w:rPr>
                <w:bCs/>
                <w:sz w:val="24"/>
              </w:rPr>
              <w:t>级，结合导则中“</w:t>
            </w:r>
            <w:r>
              <w:rPr>
                <w:rFonts w:hint="eastAsia"/>
                <w:bCs/>
                <w:sz w:val="24"/>
              </w:rPr>
              <w:t>8.1.3 三级评价项目不进行进一步预测与评价</w:t>
            </w:r>
            <w:r>
              <w:rPr>
                <w:bCs/>
                <w:sz w:val="24"/>
              </w:rPr>
              <w:t>”，因此本次评价不再采用进一步预测模型开展大气环境影响预测与评价，不再进行大气环境防护距离分析。</w:t>
            </w:r>
          </w:p>
          <w:p>
            <w:pPr>
              <w:spacing w:line="360" w:lineRule="auto"/>
              <w:ind w:firstLine="482" w:firstLineChars="200"/>
              <w:rPr>
                <w:b/>
                <w:sz w:val="24"/>
              </w:rPr>
            </w:pPr>
            <w:r>
              <w:rPr>
                <w:b/>
                <w:sz w:val="24"/>
              </w:rPr>
              <w:t>（</w:t>
            </w:r>
            <w:r>
              <w:rPr>
                <w:rFonts w:hint="eastAsia"/>
                <w:b/>
                <w:sz w:val="24"/>
                <w:lang w:val="en-US" w:eastAsia="zh-CN"/>
              </w:rPr>
              <w:t>6</w:t>
            </w:r>
            <w:r>
              <w:rPr>
                <w:b/>
                <w:sz w:val="24"/>
              </w:rPr>
              <w:t>）大气污染物排放量核算</w:t>
            </w:r>
          </w:p>
          <w:p>
            <w:pPr>
              <w:keepNext w:val="0"/>
              <w:keepLines w:val="0"/>
              <w:pageBreakBefore w:val="0"/>
              <w:widowControl w:val="0"/>
              <w:kinsoku/>
              <w:wordWrap/>
              <w:overflowPunct/>
              <w:topLinePunct w:val="0"/>
              <w:autoSpaceDE/>
              <w:autoSpaceDN/>
              <w:bidi w:val="0"/>
              <w:adjustRightInd w:val="0"/>
              <w:snapToGrid w:val="0"/>
              <w:spacing w:before="157" w:beforeLines="50"/>
              <w:jc w:val="center"/>
              <w:textAlignment w:val="auto"/>
              <w:rPr>
                <w:b/>
                <w:color w:val="auto"/>
                <w:sz w:val="21"/>
                <w:szCs w:val="21"/>
              </w:rPr>
            </w:pPr>
            <w:r>
              <w:rPr>
                <w:b/>
                <w:color w:val="auto"/>
                <w:sz w:val="21"/>
                <w:szCs w:val="21"/>
              </w:rPr>
              <w:t>表</w:t>
            </w:r>
            <w:r>
              <w:rPr>
                <w:rFonts w:hint="eastAsia"/>
                <w:b/>
                <w:color w:val="auto"/>
                <w:sz w:val="21"/>
                <w:szCs w:val="21"/>
                <w:lang w:val="en-US" w:eastAsia="zh-CN"/>
              </w:rPr>
              <w:t>7-1</w:t>
            </w:r>
            <w:r>
              <w:rPr>
                <w:rFonts w:hint="eastAsia"/>
                <w:b/>
                <w:color w:val="auto"/>
                <w:sz w:val="21"/>
                <w:szCs w:val="21"/>
              </w:rPr>
              <w:t>3</w:t>
            </w:r>
            <w:r>
              <w:rPr>
                <w:b/>
                <w:color w:val="auto"/>
                <w:sz w:val="21"/>
                <w:szCs w:val="21"/>
              </w:rPr>
              <w:t xml:space="preserve">  本项目大气污染物有组织排放量核算表</w:t>
            </w:r>
          </w:p>
          <w:tbl>
            <w:tblPr>
              <w:tblStyle w:val="15"/>
              <w:tblW w:w="8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83"/>
              <w:gridCol w:w="981"/>
              <w:gridCol w:w="1154"/>
              <w:gridCol w:w="1946"/>
              <w:gridCol w:w="1815"/>
              <w:gridCol w:w="1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483" w:type="dxa"/>
                  <w:noWrap w:val="0"/>
                  <w:vAlign w:val="center"/>
                </w:tcPr>
                <w:p>
                  <w:pPr>
                    <w:adjustRightInd w:val="0"/>
                    <w:snapToGrid w:val="0"/>
                    <w:spacing w:line="240" w:lineRule="auto"/>
                    <w:jc w:val="center"/>
                    <w:rPr>
                      <w:b/>
                      <w:color w:val="auto"/>
                      <w:sz w:val="21"/>
                      <w:szCs w:val="21"/>
                    </w:rPr>
                  </w:pPr>
                  <w:r>
                    <w:rPr>
                      <w:b/>
                      <w:color w:val="auto"/>
                      <w:sz w:val="21"/>
                      <w:szCs w:val="21"/>
                    </w:rPr>
                    <w:t>序号</w:t>
                  </w:r>
                </w:p>
              </w:tc>
              <w:tc>
                <w:tcPr>
                  <w:tcW w:w="981" w:type="dxa"/>
                  <w:noWrap w:val="0"/>
                  <w:vAlign w:val="center"/>
                </w:tcPr>
                <w:p>
                  <w:pPr>
                    <w:adjustRightInd w:val="0"/>
                    <w:snapToGrid w:val="0"/>
                    <w:spacing w:line="240" w:lineRule="auto"/>
                    <w:jc w:val="center"/>
                    <w:rPr>
                      <w:b/>
                      <w:color w:val="auto"/>
                      <w:sz w:val="21"/>
                      <w:szCs w:val="21"/>
                    </w:rPr>
                  </w:pPr>
                  <w:r>
                    <w:rPr>
                      <w:b/>
                      <w:color w:val="auto"/>
                      <w:sz w:val="21"/>
                      <w:szCs w:val="21"/>
                    </w:rPr>
                    <w:t>排放口编号</w:t>
                  </w:r>
                </w:p>
              </w:tc>
              <w:tc>
                <w:tcPr>
                  <w:tcW w:w="1154" w:type="dxa"/>
                  <w:noWrap w:val="0"/>
                  <w:vAlign w:val="center"/>
                </w:tcPr>
                <w:p>
                  <w:pPr>
                    <w:adjustRightInd w:val="0"/>
                    <w:snapToGrid w:val="0"/>
                    <w:spacing w:line="240" w:lineRule="auto"/>
                    <w:jc w:val="center"/>
                    <w:rPr>
                      <w:b/>
                      <w:color w:val="auto"/>
                      <w:sz w:val="21"/>
                      <w:szCs w:val="21"/>
                    </w:rPr>
                  </w:pPr>
                  <w:r>
                    <w:rPr>
                      <w:b/>
                      <w:color w:val="auto"/>
                      <w:sz w:val="21"/>
                      <w:szCs w:val="21"/>
                    </w:rPr>
                    <w:t>污染物</w:t>
                  </w:r>
                </w:p>
              </w:tc>
              <w:tc>
                <w:tcPr>
                  <w:tcW w:w="1946" w:type="dxa"/>
                  <w:noWrap w:val="0"/>
                  <w:vAlign w:val="center"/>
                </w:tcPr>
                <w:p>
                  <w:pPr>
                    <w:adjustRightInd w:val="0"/>
                    <w:snapToGrid w:val="0"/>
                    <w:spacing w:line="240" w:lineRule="auto"/>
                    <w:jc w:val="center"/>
                    <w:rPr>
                      <w:b/>
                      <w:color w:val="auto"/>
                      <w:sz w:val="21"/>
                      <w:szCs w:val="21"/>
                    </w:rPr>
                  </w:pPr>
                  <w:r>
                    <w:rPr>
                      <w:b/>
                      <w:color w:val="auto"/>
                      <w:sz w:val="21"/>
                      <w:szCs w:val="21"/>
                    </w:rPr>
                    <w:t>核算排放浓度/（μg/m</w:t>
                  </w:r>
                  <w:r>
                    <w:rPr>
                      <w:b/>
                      <w:color w:val="auto"/>
                      <w:sz w:val="21"/>
                      <w:szCs w:val="21"/>
                      <w:vertAlign w:val="superscript"/>
                    </w:rPr>
                    <w:t>3</w:t>
                  </w:r>
                  <w:r>
                    <w:rPr>
                      <w:b/>
                      <w:color w:val="auto"/>
                      <w:sz w:val="21"/>
                      <w:szCs w:val="21"/>
                    </w:rPr>
                    <w:t>）</w:t>
                  </w:r>
                </w:p>
              </w:tc>
              <w:tc>
                <w:tcPr>
                  <w:tcW w:w="1815" w:type="dxa"/>
                  <w:noWrap w:val="0"/>
                  <w:vAlign w:val="center"/>
                </w:tcPr>
                <w:p>
                  <w:pPr>
                    <w:adjustRightInd w:val="0"/>
                    <w:snapToGrid w:val="0"/>
                    <w:spacing w:line="240" w:lineRule="auto"/>
                    <w:jc w:val="center"/>
                    <w:rPr>
                      <w:b/>
                      <w:color w:val="auto"/>
                      <w:sz w:val="21"/>
                      <w:szCs w:val="21"/>
                    </w:rPr>
                  </w:pPr>
                  <w:r>
                    <w:rPr>
                      <w:b/>
                      <w:color w:val="auto"/>
                      <w:sz w:val="21"/>
                      <w:szCs w:val="21"/>
                    </w:rPr>
                    <w:t>核算排放速率/（kg/h）</w:t>
                  </w:r>
                </w:p>
              </w:tc>
              <w:tc>
                <w:tcPr>
                  <w:tcW w:w="1801" w:type="dxa"/>
                  <w:noWrap w:val="0"/>
                  <w:vAlign w:val="center"/>
                </w:tcPr>
                <w:p>
                  <w:pPr>
                    <w:adjustRightInd w:val="0"/>
                    <w:snapToGrid w:val="0"/>
                    <w:spacing w:line="240" w:lineRule="auto"/>
                    <w:jc w:val="center"/>
                    <w:rPr>
                      <w:b/>
                      <w:color w:val="auto"/>
                      <w:sz w:val="21"/>
                      <w:szCs w:val="21"/>
                    </w:rPr>
                  </w:pPr>
                  <w:r>
                    <w:rPr>
                      <w:b/>
                      <w:color w:val="auto"/>
                      <w:sz w:val="21"/>
                      <w:szCs w:val="21"/>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8180" w:type="dxa"/>
                  <w:gridSpan w:val="6"/>
                  <w:noWrap w:val="0"/>
                  <w:vAlign w:val="center"/>
                </w:tcPr>
                <w:p>
                  <w:pPr>
                    <w:adjustRightInd w:val="0"/>
                    <w:snapToGrid w:val="0"/>
                    <w:spacing w:line="240" w:lineRule="auto"/>
                    <w:jc w:val="center"/>
                    <w:rPr>
                      <w:color w:val="auto"/>
                      <w:sz w:val="21"/>
                      <w:szCs w:val="21"/>
                    </w:rPr>
                  </w:pPr>
                  <w:r>
                    <w:rPr>
                      <w:color w:val="auto"/>
                      <w:sz w:val="21"/>
                      <w:szCs w:val="21"/>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483" w:type="dxa"/>
                  <w:noWrap w:val="0"/>
                  <w:vAlign w:val="center"/>
                </w:tcPr>
                <w:p>
                  <w:pPr>
                    <w:adjustRightInd w:val="0"/>
                    <w:snapToGrid w:val="0"/>
                    <w:spacing w:line="240" w:lineRule="auto"/>
                    <w:jc w:val="center"/>
                    <w:rPr>
                      <w:color w:val="auto"/>
                      <w:sz w:val="21"/>
                      <w:szCs w:val="21"/>
                    </w:rPr>
                  </w:pPr>
                  <w:r>
                    <w:rPr>
                      <w:color w:val="auto"/>
                      <w:sz w:val="21"/>
                      <w:szCs w:val="21"/>
                    </w:rPr>
                    <w:t>1</w:t>
                  </w:r>
                </w:p>
              </w:tc>
              <w:tc>
                <w:tcPr>
                  <w:tcW w:w="981" w:type="dxa"/>
                  <w:noWrap w:val="0"/>
                  <w:vAlign w:val="center"/>
                </w:tcPr>
                <w:p>
                  <w:pPr>
                    <w:adjustRightInd w:val="0"/>
                    <w:snapToGrid w:val="0"/>
                    <w:spacing w:line="240" w:lineRule="auto"/>
                    <w:jc w:val="center"/>
                    <w:rPr>
                      <w:color w:val="auto"/>
                      <w:sz w:val="21"/>
                      <w:szCs w:val="21"/>
                    </w:rPr>
                  </w:pPr>
                  <w:r>
                    <w:rPr>
                      <w:color w:val="auto"/>
                      <w:sz w:val="21"/>
                      <w:szCs w:val="21"/>
                    </w:rPr>
                    <w:t>G1</w:t>
                  </w:r>
                </w:p>
              </w:tc>
              <w:tc>
                <w:tcPr>
                  <w:tcW w:w="1154" w:type="dxa"/>
                  <w:noWrap w:val="0"/>
                  <w:vAlign w:val="center"/>
                </w:tcPr>
                <w:p>
                  <w:pPr>
                    <w:adjustRightInd w:val="0"/>
                    <w:snapToGrid w:val="0"/>
                    <w:spacing w:line="240" w:lineRule="auto"/>
                    <w:jc w:val="center"/>
                    <w:rPr>
                      <w:color w:val="auto"/>
                      <w:sz w:val="21"/>
                      <w:szCs w:val="21"/>
                    </w:rPr>
                  </w:pPr>
                  <w:r>
                    <w:rPr>
                      <w:rFonts w:hint="eastAsia"/>
                      <w:color w:val="auto"/>
                      <w:sz w:val="21"/>
                      <w:szCs w:val="21"/>
                    </w:rPr>
                    <w:t>TSP</w:t>
                  </w:r>
                </w:p>
              </w:tc>
              <w:tc>
                <w:tcPr>
                  <w:tcW w:w="1946" w:type="dxa"/>
                  <w:noWrap w:val="0"/>
                  <w:vAlign w:val="center"/>
                </w:tcPr>
                <w:p>
                  <w:pPr>
                    <w:adjustRightInd w:val="0"/>
                    <w:snapToGrid w:val="0"/>
                    <w:spacing w:line="240" w:lineRule="auto"/>
                    <w:jc w:val="center"/>
                    <w:rPr>
                      <w:color w:val="auto"/>
                      <w:sz w:val="21"/>
                      <w:szCs w:val="21"/>
                    </w:rPr>
                  </w:pPr>
                  <w:r>
                    <w:rPr>
                      <w:rFonts w:hint="eastAsia" w:cs="Times New Roman"/>
                      <w:i w:val="0"/>
                      <w:color w:val="FF0000"/>
                      <w:kern w:val="0"/>
                      <w:sz w:val="21"/>
                      <w:szCs w:val="21"/>
                      <w:u w:val="none"/>
                      <w:lang w:val="en-US" w:eastAsia="zh-CN" w:bidi="ar"/>
                    </w:rPr>
                    <w:t>2.45</w:t>
                  </w:r>
                </w:p>
              </w:tc>
              <w:tc>
                <w:tcPr>
                  <w:tcW w:w="1815" w:type="dxa"/>
                  <w:noWrap w:val="0"/>
                  <w:vAlign w:val="center"/>
                </w:tcPr>
                <w:p>
                  <w:pPr>
                    <w:adjustRightInd w:val="0"/>
                    <w:snapToGrid w:val="0"/>
                    <w:spacing w:line="240" w:lineRule="auto"/>
                    <w:jc w:val="center"/>
                    <w:rPr>
                      <w:color w:val="auto"/>
                      <w:sz w:val="21"/>
                      <w:szCs w:val="21"/>
                    </w:rPr>
                  </w:pPr>
                  <w:r>
                    <w:rPr>
                      <w:rFonts w:hint="eastAsia" w:cs="Times New Roman"/>
                      <w:i w:val="0"/>
                      <w:color w:val="FF0000"/>
                      <w:kern w:val="0"/>
                      <w:sz w:val="21"/>
                      <w:szCs w:val="21"/>
                      <w:u w:val="none"/>
                      <w:lang w:val="en-US" w:eastAsia="zh-CN" w:bidi="ar"/>
                    </w:rPr>
                    <w:t>0.06</w:t>
                  </w:r>
                </w:p>
              </w:tc>
              <w:tc>
                <w:tcPr>
                  <w:tcW w:w="1801" w:type="dxa"/>
                  <w:noWrap w:val="0"/>
                  <w:vAlign w:val="center"/>
                </w:tcPr>
                <w:p>
                  <w:pPr>
                    <w:adjustRightInd w:val="0"/>
                    <w:snapToGrid w:val="0"/>
                    <w:spacing w:line="240" w:lineRule="auto"/>
                    <w:jc w:val="center"/>
                    <w:rPr>
                      <w:color w:val="auto"/>
                      <w:sz w:val="21"/>
                      <w:szCs w:val="21"/>
                    </w:rPr>
                  </w:pPr>
                  <w:r>
                    <w:rPr>
                      <w:rFonts w:hint="eastAsia" w:cs="Times New Roman"/>
                      <w:i w:val="0"/>
                      <w:color w:val="FF0000"/>
                      <w:kern w:val="0"/>
                      <w:sz w:val="21"/>
                      <w:szCs w:val="21"/>
                      <w:u w:val="none"/>
                      <w:lang w:val="en-US" w:eastAsia="zh-CN" w:bidi="ar"/>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483" w:type="dxa"/>
                  <w:noWrap w:val="0"/>
                  <w:vAlign w:val="center"/>
                </w:tcPr>
                <w:p>
                  <w:pPr>
                    <w:adjustRightInd w:val="0"/>
                    <w:snapToGrid w:val="0"/>
                    <w:spacing w:line="240" w:lineRule="auto"/>
                    <w:jc w:val="center"/>
                    <w:rPr>
                      <w:color w:val="auto"/>
                      <w:sz w:val="21"/>
                      <w:szCs w:val="21"/>
                    </w:rPr>
                  </w:pPr>
                  <w:r>
                    <w:rPr>
                      <w:rFonts w:hint="eastAsia"/>
                      <w:color w:val="auto"/>
                      <w:sz w:val="21"/>
                      <w:szCs w:val="21"/>
                    </w:rPr>
                    <w:t>2</w:t>
                  </w:r>
                </w:p>
              </w:tc>
              <w:tc>
                <w:tcPr>
                  <w:tcW w:w="981" w:type="dxa"/>
                  <w:vMerge w:val="restart"/>
                  <w:noWrap w:val="0"/>
                  <w:vAlign w:val="center"/>
                </w:tcPr>
                <w:p>
                  <w:pPr>
                    <w:adjustRightInd w:val="0"/>
                    <w:snapToGrid w:val="0"/>
                    <w:spacing w:line="240" w:lineRule="auto"/>
                    <w:jc w:val="center"/>
                    <w:rPr>
                      <w:color w:val="auto"/>
                      <w:sz w:val="21"/>
                      <w:szCs w:val="21"/>
                    </w:rPr>
                  </w:pPr>
                  <w:r>
                    <w:rPr>
                      <w:rFonts w:hint="eastAsia"/>
                      <w:color w:val="auto"/>
                      <w:sz w:val="21"/>
                      <w:szCs w:val="21"/>
                    </w:rPr>
                    <w:t>G2</w:t>
                  </w:r>
                </w:p>
              </w:tc>
              <w:tc>
                <w:tcPr>
                  <w:tcW w:w="1154" w:type="dxa"/>
                  <w:noWrap w:val="0"/>
                  <w:vAlign w:val="center"/>
                </w:tcPr>
                <w:p>
                  <w:pPr>
                    <w:adjustRightInd w:val="0"/>
                    <w:snapToGrid w:val="0"/>
                    <w:spacing w:line="240" w:lineRule="auto"/>
                    <w:jc w:val="center"/>
                    <w:rPr>
                      <w:color w:val="auto"/>
                      <w:sz w:val="21"/>
                      <w:szCs w:val="21"/>
                    </w:rPr>
                  </w:pPr>
                  <w:r>
                    <w:rPr>
                      <w:rFonts w:hint="eastAsia"/>
                      <w:color w:val="auto"/>
                      <w:sz w:val="21"/>
                      <w:szCs w:val="21"/>
                    </w:rPr>
                    <w:t>VOC</w:t>
                  </w:r>
                  <w:r>
                    <w:rPr>
                      <w:color w:val="auto"/>
                      <w:sz w:val="21"/>
                      <w:szCs w:val="21"/>
                    </w:rPr>
                    <w:t>s</w:t>
                  </w:r>
                </w:p>
              </w:tc>
              <w:tc>
                <w:tcPr>
                  <w:tcW w:w="1946" w:type="dxa"/>
                  <w:noWrap w:val="0"/>
                  <w:vAlign w:val="center"/>
                </w:tcPr>
                <w:p>
                  <w:pPr>
                    <w:adjustRightInd w:val="0"/>
                    <w:snapToGrid w:val="0"/>
                    <w:spacing w:line="240" w:lineRule="auto"/>
                    <w:jc w:val="center"/>
                    <w:rPr>
                      <w:color w:val="auto"/>
                      <w:sz w:val="21"/>
                      <w:szCs w:val="21"/>
                    </w:rPr>
                  </w:pPr>
                  <w:r>
                    <w:rPr>
                      <w:rFonts w:hint="default" w:ascii="Times New Roman" w:hAnsi="Times New Roman" w:eastAsia="宋体" w:cs="Times New Roman"/>
                      <w:i w:val="0"/>
                      <w:color w:val="FF0000"/>
                      <w:kern w:val="0"/>
                      <w:sz w:val="21"/>
                      <w:szCs w:val="21"/>
                      <w:u w:val="none"/>
                      <w:lang w:val="en-US" w:eastAsia="zh-CN" w:bidi="ar"/>
                    </w:rPr>
                    <w:t>0.3</w:t>
                  </w:r>
                </w:p>
              </w:tc>
              <w:tc>
                <w:tcPr>
                  <w:tcW w:w="1815" w:type="dxa"/>
                  <w:noWrap w:val="0"/>
                  <w:vAlign w:val="center"/>
                </w:tcPr>
                <w:p>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color w:val="FF0000"/>
                      <w:kern w:val="0"/>
                      <w:sz w:val="21"/>
                      <w:szCs w:val="21"/>
                      <w:u w:val="none"/>
                      <w:lang w:val="en-US" w:eastAsia="zh-CN" w:bidi="ar"/>
                    </w:rPr>
                    <w:t>0.00</w:t>
                  </w:r>
                  <w:r>
                    <w:rPr>
                      <w:rFonts w:hint="eastAsia" w:cs="Times New Roman"/>
                      <w:i w:val="0"/>
                      <w:color w:val="FF0000"/>
                      <w:kern w:val="0"/>
                      <w:sz w:val="21"/>
                      <w:szCs w:val="21"/>
                      <w:u w:val="none"/>
                      <w:lang w:val="en-US" w:eastAsia="zh-CN" w:bidi="ar"/>
                    </w:rPr>
                    <w:t>4</w:t>
                  </w:r>
                  <w:r>
                    <w:rPr>
                      <w:rFonts w:hint="default" w:ascii="Times New Roman" w:hAnsi="Times New Roman" w:eastAsia="宋体" w:cs="Times New Roman"/>
                      <w:i w:val="0"/>
                      <w:color w:val="FF0000"/>
                      <w:kern w:val="0"/>
                      <w:sz w:val="21"/>
                      <w:szCs w:val="21"/>
                      <w:u w:val="none"/>
                      <w:lang w:val="en-US" w:eastAsia="zh-CN" w:bidi="ar"/>
                    </w:rPr>
                    <w:t xml:space="preserve">5 </w:t>
                  </w:r>
                </w:p>
              </w:tc>
              <w:tc>
                <w:tcPr>
                  <w:tcW w:w="1801" w:type="dxa"/>
                  <w:noWrap w:val="0"/>
                  <w:vAlign w:val="center"/>
                </w:tcPr>
                <w:p>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color w:val="FF0000"/>
                      <w:kern w:val="0"/>
                      <w:sz w:val="21"/>
                      <w:szCs w:val="21"/>
                      <w:u w:val="none"/>
                      <w:lang w:val="en-US" w:eastAsia="zh-CN" w:bidi="ar"/>
                    </w:rPr>
                    <w:t xml:space="preserve">0.0108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483" w:type="dxa"/>
                  <w:noWrap w:val="0"/>
                  <w:vAlign w:val="center"/>
                </w:tcPr>
                <w:p>
                  <w:pPr>
                    <w:adjustRightInd w:val="0"/>
                    <w:snapToGrid w:val="0"/>
                    <w:spacing w:line="240" w:lineRule="auto"/>
                    <w:jc w:val="center"/>
                    <w:rPr>
                      <w:color w:val="auto"/>
                      <w:sz w:val="21"/>
                      <w:szCs w:val="21"/>
                    </w:rPr>
                  </w:pPr>
                  <w:r>
                    <w:rPr>
                      <w:rFonts w:hint="eastAsia"/>
                      <w:color w:val="auto"/>
                      <w:sz w:val="21"/>
                      <w:szCs w:val="21"/>
                    </w:rPr>
                    <w:t>3</w:t>
                  </w:r>
                </w:p>
              </w:tc>
              <w:tc>
                <w:tcPr>
                  <w:tcW w:w="981" w:type="dxa"/>
                  <w:vMerge w:val="continue"/>
                  <w:tcBorders/>
                  <w:noWrap w:val="0"/>
                  <w:vAlign w:val="center"/>
                </w:tcPr>
                <w:p>
                  <w:pPr>
                    <w:adjustRightInd w:val="0"/>
                    <w:snapToGrid w:val="0"/>
                    <w:spacing w:line="240" w:lineRule="auto"/>
                    <w:jc w:val="center"/>
                    <w:rPr>
                      <w:color w:val="auto"/>
                      <w:sz w:val="21"/>
                      <w:szCs w:val="21"/>
                    </w:rPr>
                  </w:pPr>
                </w:p>
              </w:tc>
              <w:tc>
                <w:tcPr>
                  <w:tcW w:w="1154" w:type="dxa"/>
                  <w:noWrap w:val="0"/>
                  <w:vAlign w:val="center"/>
                </w:tcPr>
                <w:p>
                  <w:pPr>
                    <w:adjustRightInd w:val="0"/>
                    <w:snapToGrid w:val="0"/>
                    <w:spacing w:line="240" w:lineRule="auto"/>
                    <w:jc w:val="center"/>
                    <w:rPr>
                      <w:color w:val="auto"/>
                      <w:sz w:val="21"/>
                      <w:szCs w:val="21"/>
                    </w:rPr>
                  </w:pPr>
                  <w:r>
                    <w:rPr>
                      <w:rFonts w:hint="eastAsia"/>
                      <w:color w:val="auto"/>
                      <w:sz w:val="21"/>
                      <w:szCs w:val="21"/>
                    </w:rPr>
                    <w:t>TSP</w:t>
                  </w:r>
                </w:p>
              </w:tc>
              <w:tc>
                <w:tcPr>
                  <w:tcW w:w="1946" w:type="dxa"/>
                  <w:noWrap w:val="0"/>
                  <w:vAlign w:val="center"/>
                </w:tcPr>
                <w:p>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22.04 </w:t>
                  </w:r>
                </w:p>
              </w:tc>
              <w:tc>
                <w:tcPr>
                  <w:tcW w:w="1815" w:type="dxa"/>
                  <w:noWrap w:val="0"/>
                  <w:vAlign w:val="center"/>
                </w:tcPr>
                <w:p>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0.0005</w:t>
                  </w:r>
                </w:p>
              </w:tc>
              <w:tc>
                <w:tcPr>
                  <w:tcW w:w="1801" w:type="dxa"/>
                  <w:noWrap w:val="0"/>
                  <w:vAlign w:val="center"/>
                </w:tcPr>
                <w:p>
                  <w:pPr>
                    <w:keepNext w:val="0"/>
                    <w:keepLines w:val="0"/>
                    <w:widowControl/>
                    <w:suppressLineNumbers w:val="0"/>
                    <w:jc w:val="center"/>
                    <w:textAlignment w:val="center"/>
                    <w:rPr>
                      <w:color w:val="auto"/>
                      <w:sz w:val="21"/>
                      <w:szCs w:val="21"/>
                    </w:rPr>
                  </w:pPr>
                  <w:r>
                    <w:rPr>
                      <w:rFonts w:hint="eastAsia" w:cs="Times New Roman"/>
                      <w:i w:val="0"/>
                      <w:color w:val="000000"/>
                      <w:kern w:val="0"/>
                      <w:sz w:val="21"/>
                      <w:szCs w:val="21"/>
                      <w:u w:val="none"/>
                      <w:lang w:val="en-US" w:eastAsia="zh-CN" w:bidi="ar"/>
                    </w:rPr>
                    <w:t>0.00</w:t>
                  </w:r>
                  <w:r>
                    <w:rPr>
                      <w:rFonts w:hint="default" w:ascii="Times New Roman" w:hAnsi="Times New Roman" w:eastAsia="宋体" w:cs="Times New Roman"/>
                      <w:i w:val="0"/>
                      <w:color w:val="000000"/>
                      <w:kern w:val="0"/>
                      <w:sz w:val="21"/>
                      <w:szCs w:val="21"/>
                      <w:u w:val="none"/>
                      <w:lang w:val="en-US" w:eastAsia="zh-CN" w:bidi="ar"/>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483" w:type="dxa"/>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4</w:t>
                  </w:r>
                </w:p>
              </w:tc>
              <w:tc>
                <w:tcPr>
                  <w:tcW w:w="981" w:type="dxa"/>
                  <w:vMerge w:val="continue"/>
                  <w:tcBorders/>
                  <w:noWrap w:val="0"/>
                  <w:vAlign w:val="center"/>
                </w:tcPr>
                <w:p>
                  <w:pPr>
                    <w:adjustRightInd w:val="0"/>
                    <w:snapToGrid w:val="0"/>
                    <w:spacing w:line="240" w:lineRule="auto"/>
                    <w:jc w:val="center"/>
                    <w:rPr>
                      <w:rFonts w:hint="eastAsia"/>
                      <w:color w:val="auto"/>
                      <w:sz w:val="21"/>
                      <w:szCs w:val="21"/>
                    </w:rPr>
                  </w:pPr>
                </w:p>
              </w:tc>
              <w:tc>
                <w:tcPr>
                  <w:tcW w:w="1154" w:type="dxa"/>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SO</w:t>
                  </w:r>
                  <w:r>
                    <w:rPr>
                      <w:rFonts w:hint="eastAsia"/>
                      <w:color w:val="auto"/>
                      <w:sz w:val="21"/>
                      <w:szCs w:val="21"/>
                      <w:vertAlign w:val="subscript"/>
                    </w:rPr>
                    <w:t>2</w:t>
                  </w:r>
                </w:p>
              </w:tc>
              <w:tc>
                <w:tcPr>
                  <w:tcW w:w="1946" w:type="dxa"/>
                  <w:noWrap w:val="0"/>
                  <w:vAlign w:val="center"/>
                </w:tcPr>
                <w:p>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0.09 </w:t>
                  </w:r>
                </w:p>
              </w:tc>
              <w:tc>
                <w:tcPr>
                  <w:tcW w:w="1815" w:type="dxa"/>
                  <w:noWrap w:val="0"/>
                  <w:vAlign w:val="center"/>
                </w:tcPr>
                <w:p>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0.000002 </w:t>
                  </w:r>
                </w:p>
              </w:tc>
              <w:tc>
                <w:tcPr>
                  <w:tcW w:w="1801" w:type="dxa"/>
                  <w:noWrap w:val="0"/>
                  <w:vAlign w:val="center"/>
                </w:tcPr>
                <w:p>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w:t>
                  </w:r>
                  <w:r>
                    <w:rPr>
                      <w:rFonts w:hint="eastAsia" w:cs="Times New Roman"/>
                      <w:i w:val="0"/>
                      <w:color w:val="000000"/>
                      <w:kern w:val="0"/>
                      <w:sz w:val="21"/>
                      <w:szCs w:val="21"/>
                      <w:u w:val="none"/>
                      <w:lang w:val="en-US" w:eastAsia="zh-CN" w:bidi="ar"/>
                    </w:rPr>
                    <w:t>000</w:t>
                  </w:r>
                  <w:r>
                    <w:rPr>
                      <w:rFonts w:hint="default" w:ascii="Times New Roman" w:hAnsi="Times New Roman" w:eastAsia="宋体" w:cs="Times New Roman"/>
                      <w:i w:val="0"/>
                      <w:color w:val="000000"/>
                      <w:kern w:val="0"/>
                      <w:sz w:val="21"/>
                      <w:szCs w:val="21"/>
                      <w:u w:val="none"/>
                      <w:lang w:val="en-US" w:eastAsia="zh-CN"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483" w:type="dxa"/>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5</w:t>
                  </w:r>
                </w:p>
              </w:tc>
              <w:tc>
                <w:tcPr>
                  <w:tcW w:w="981" w:type="dxa"/>
                  <w:vMerge w:val="continue"/>
                  <w:tcBorders/>
                  <w:noWrap w:val="0"/>
                  <w:vAlign w:val="center"/>
                </w:tcPr>
                <w:p>
                  <w:pPr>
                    <w:adjustRightInd w:val="0"/>
                    <w:snapToGrid w:val="0"/>
                    <w:spacing w:line="240" w:lineRule="auto"/>
                    <w:jc w:val="center"/>
                    <w:rPr>
                      <w:rFonts w:hint="eastAsia"/>
                      <w:color w:val="auto"/>
                      <w:sz w:val="21"/>
                      <w:szCs w:val="21"/>
                    </w:rPr>
                  </w:pPr>
                </w:p>
              </w:tc>
              <w:tc>
                <w:tcPr>
                  <w:tcW w:w="1154" w:type="dxa"/>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NO</w:t>
                  </w:r>
                  <w:r>
                    <w:rPr>
                      <w:rFonts w:hint="eastAsia"/>
                      <w:color w:val="auto"/>
                      <w:sz w:val="21"/>
                      <w:szCs w:val="21"/>
                      <w:vertAlign w:val="subscript"/>
                    </w:rPr>
                    <w:t>X</w:t>
                  </w:r>
                </w:p>
              </w:tc>
              <w:tc>
                <w:tcPr>
                  <w:tcW w:w="1946" w:type="dxa"/>
                  <w:noWrap w:val="0"/>
                  <w:vAlign w:val="center"/>
                </w:tcPr>
                <w:p>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57.85 </w:t>
                  </w:r>
                </w:p>
              </w:tc>
              <w:tc>
                <w:tcPr>
                  <w:tcW w:w="1815" w:type="dxa"/>
                  <w:noWrap w:val="0"/>
                  <w:vAlign w:val="center"/>
                </w:tcPr>
                <w:p>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color w:val="000000"/>
                      <w:kern w:val="0"/>
                      <w:sz w:val="21"/>
                      <w:szCs w:val="21"/>
                      <w:u w:val="none"/>
                      <w:lang w:val="en-US" w:eastAsia="zh-CN" w:bidi="ar"/>
                    </w:rPr>
                    <w:t xml:space="preserve">0.0013 </w:t>
                  </w:r>
                </w:p>
              </w:tc>
              <w:tc>
                <w:tcPr>
                  <w:tcW w:w="1801" w:type="dxa"/>
                  <w:noWrap w:val="0"/>
                  <w:vAlign w:val="center"/>
                </w:tcPr>
                <w:p>
                  <w:pPr>
                    <w:keepNext w:val="0"/>
                    <w:keepLines w:val="0"/>
                    <w:widowControl/>
                    <w:suppressLineNumbers w:val="0"/>
                    <w:jc w:val="center"/>
                    <w:textAlignment w:val="center"/>
                    <w:rPr>
                      <w:rFonts w:hint="eastAsia"/>
                      <w:color w:val="auto"/>
                      <w:sz w:val="21"/>
                      <w:szCs w:val="21"/>
                    </w:rPr>
                  </w:pPr>
                  <w:r>
                    <w:rPr>
                      <w:rFonts w:hint="eastAsia" w:cs="Times New Roman"/>
                      <w:i w:val="0"/>
                      <w:color w:val="000000"/>
                      <w:kern w:val="0"/>
                      <w:sz w:val="21"/>
                      <w:szCs w:val="21"/>
                      <w:u w:val="none"/>
                      <w:lang w:val="en-US" w:eastAsia="zh-CN" w:bidi="ar"/>
                    </w:rPr>
                    <w:t>0.00</w:t>
                  </w:r>
                  <w:r>
                    <w:rPr>
                      <w:rFonts w:hint="default" w:ascii="Times New Roman" w:hAnsi="Times New Roman" w:eastAsia="宋体" w:cs="Times New Roman"/>
                      <w:i w:val="0"/>
                      <w:color w:val="000000"/>
                      <w:kern w:val="0"/>
                      <w:sz w:val="21"/>
                      <w:szCs w:val="21"/>
                      <w:u w:val="none"/>
                      <w:lang w:val="en-US" w:eastAsia="zh-CN" w:bidi="ar"/>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1464" w:type="dxa"/>
                  <w:gridSpan w:val="2"/>
                  <w:vMerge w:val="restart"/>
                  <w:noWrap w:val="0"/>
                  <w:vAlign w:val="center"/>
                </w:tcPr>
                <w:p>
                  <w:pPr>
                    <w:adjustRightInd w:val="0"/>
                    <w:snapToGrid w:val="0"/>
                    <w:spacing w:line="240" w:lineRule="auto"/>
                    <w:jc w:val="center"/>
                    <w:rPr>
                      <w:color w:val="auto"/>
                      <w:sz w:val="21"/>
                      <w:szCs w:val="21"/>
                    </w:rPr>
                  </w:pPr>
                  <w:r>
                    <w:rPr>
                      <w:color w:val="auto"/>
                      <w:sz w:val="21"/>
                      <w:szCs w:val="21"/>
                    </w:rPr>
                    <w:t>有组织排放总计</w:t>
                  </w:r>
                </w:p>
              </w:tc>
              <w:tc>
                <w:tcPr>
                  <w:tcW w:w="4915" w:type="dxa"/>
                  <w:gridSpan w:val="3"/>
                  <w:noWrap w:val="0"/>
                  <w:vAlign w:val="center"/>
                </w:tcPr>
                <w:p>
                  <w:pPr>
                    <w:adjustRightInd w:val="0"/>
                    <w:snapToGrid w:val="0"/>
                    <w:spacing w:line="240" w:lineRule="auto"/>
                    <w:jc w:val="center"/>
                    <w:rPr>
                      <w:color w:val="auto"/>
                      <w:sz w:val="21"/>
                      <w:szCs w:val="21"/>
                    </w:rPr>
                  </w:pPr>
                  <w:r>
                    <w:rPr>
                      <w:rFonts w:hint="eastAsia"/>
                      <w:color w:val="auto"/>
                      <w:sz w:val="21"/>
                      <w:szCs w:val="21"/>
                    </w:rPr>
                    <w:t>TSP</w:t>
                  </w:r>
                </w:p>
              </w:tc>
              <w:tc>
                <w:tcPr>
                  <w:tcW w:w="1801"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FF0000"/>
                      <w:kern w:val="0"/>
                      <w:sz w:val="21"/>
                      <w:szCs w:val="21"/>
                      <w:u w:val="none"/>
                      <w:lang w:val="en-US" w:eastAsia="zh-CN" w:bidi="ar"/>
                    </w:rPr>
                  </w:pPr>
                  <w:r>
                    <w:rPr>
                      <w:rFonts w:hint="eastAsia" w:ascii="Times New Roman" w:hAnsi="Times New Roman" w:eastAsia="宋体" w:cs="Times New Roman"/>
                      <w:i w:val="0"/>
                      <w:color w:val="FF0000"/>
                      <w:kern w:val="0"/>
                      <w:sz w:val="21"/>
                      <w:szCs w:val="21"/>
                      <w:u w:val="none"/>
                      <w:lang w:val="en-US" w:eastAsia="zh-CN" w:bidi="ar"/>
                    </w:rPr>
                    <w:t>0.1482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1464" w:type="dxa"/>
                  <w:gridSpan w:val="2"/>
                  <w:vMerge w:val="continue"/>
                  <w:noWrap w:val="0"/>
                  <w:vAlign w:val="center"/>
                </w:tcPr>
                <w:p>
                  <w:pPr>
                    <w:adjustRightInd w:val="0"/>
                    <w:snapToGrid w:val="0"/>
                    <w:spacing w:line="240" w:lineRule="auto"/>
                    <w:jc w:val="center"/>
                    <w:rPr>
                      <w:color w:val="auto"/>
                      <w:sz w:val="21"/>
                      <w:szCs w:val="21"/>
                    </w:rPr>
                  </w:pPr>
                </w:p>
              </w:tc>
              <w:tc>
                <w:tcPr>
                  <w:tcW w:w="4915" w:type="dxa"/>
                  <w:gridSpan w:val="3"/>
                  <w:noWrap w:val="0"/>
                  <w:vAlign w:val="center"/>
                </w:tcPr>
                <w:p>
                  <w:pPr>
                    <w:adjustRightInd w:val="0"/>
                    <w:snapToGrid w:val="0"/>
                    <w:spacing w:line="240" w:lineRule="auto"/>
                    <w:jc w:val="center"/>
                    <w:rPr>
                      <w:color w:val="auto"/>
                      <w:sz w:val="21"/>
                      <w:szCs w:val="21"/>
                    </w:rPr>
                  </w:pPr>
                  <w:r>
                    <w:rPr>
                      <w:rFonts w:hint="eastAsia"/>
                      <w:color w:val="auto"/>
                      <w:sz w:val="21"/>
                      <w:szCs w:val="21"/>
                    </w:rPr>
                    <w:t>VOC</w:t>
                  </w:r>
                  <w:r>
                    <w:rPr>
                      <w:color w:val="auto"/>
                      <w:sz w:val="21"/>
                      <w:szCs w:val="21"/>
                    </w:rPr>
                    <w:t>s</w:t>
                  </w:r>
                </w:p>
              </w:tc>
              <w:tc>
                <w:tcPr>
                  <w:tcW w:w="1801"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FF0000"/>
                      <w:kern w:val="0"/>
                      <w:sz w:val="21"/>
                      <w:szCs w:val="21"/>
                      <w:u w:val="none"/>
                      <w:lang w:val="en-US" w:eastAsia="zh-CN" w:bidi="ar"/>
                    </w:rPr>
                  </w:pPr>
                  <w:r>
                    <w:rPr>
                      <w:rFonts w:hint="default" w:ascii="Times New Roman" w:hAnsi="Times New Roman" w:eastAsia="宋体" w:cs="Times New Roman"/>
                      <w:i w:val="0"/>
                      <w:color w:val="FF0000"/>
                      <w:kern w:val="0"/>
                      <w:sz w:val="21"/>
                      <w:szCs w:val="21"/>
                      <w:u w:val="none"/>
                      <w:lang w:val="en-US" w:eastAsia="zh-CN" w:bidi="ar"/>
                    </w:rPr>
                    <w:t>0.0108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08" w:hRule="atLeast"/>
              </w:trPr>
              <w:tc>
                <w:tcPr>
                  <w:tcW w:w="1464" w:type="dxa"/>
                  <w:gridSpan w:val="2"/>
                  <w:vMerge w:val="continue"/>
                  <w:noWrap w:val="0"/>
                  <w:vAlign w:val="center"/>
                </w:tcPr>
                <w:p>
                  <w:pPr>
                    <w:adjustRightInd w:val="0"/>
                    <w:snapToGrid w:val="0"/>
                    <w:spacing w:line="240" w:lineRule="auto"/>
                    <w:jc w:val="center"/>
                    <w:rPr>
                      <w:color w:val="auto"/>
                      <w:sz w:val="21"/>
                      <w:szCs w:val="21"/>
                    </w:rPr>
                  </w:pPr>
                </w:p>
              </w:tc>
              <w:tc>
                <w:tcPr>
                  <w:tcW w:w="4915" w:type="dxa"/>
                  <w:gridSpan w:val="3"/>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SO</w:t>
                  </w:r>
                  <w:r>
                    <w:rPr>
                      <w:rFonts w:hint="eastAsia"/>
                      <w:color w:val="auto"/>
                      <w:sz w:val="21"/>
                      <w:szCs w:val="21"/>
                      <w:vertAlign w:val="subscript"/>
                    </w:rPr>
                    <w:t>2</w:t>
                  </w:r>
                </w:p>
              </w:tc>
              <w:tc>
                <w:tcPr>
                  <w:tcW w:w="1801" w:type="dxa"/>
                  <w:noWrap w:val="0"/>
                  <w:vAlign w:val="center"/>
                </w:tcPr>
                <w:p>
                  <w:pPr>
                    <w:keepNext w:val="0"/>
                    <w:keepLines w:val="0"/>
                    <w:widowControl/>
                    <w:suppressLineNumbers w:val="0"/>
                    <w:jc w:val="center"/>
                    <w:textAlignment w:val="center"/>
                    <w:rPr>
                      <w:rFonts w:hint="eastAsia"/>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w:t>
                  </w:r>
                  <w:r>
                    <w:rPr>
                      <w:rFonts w:hint="eastAsia" w:cs="Times New Roman"/>
                      <w:i w:val="0"/>
                      <w:color w:val="000000"/>
                      <w:kern w:val="0"/>
                      <w:sz w:val="21"/>
                      <w:szCs w:val="21"/>
                      <w:u w:val="none"/>
                      <w:lang w:val="en-US" w:eastAsia="zh-CN" w:bidi="ar"/>
                    </w:rPr>
                    <w:t>000</w:t>
                  </w:r>
                  <w:r>
                    <w:rPr>
                      <w:rFonts w:hint="default" w:ascii="Times New Roman" w:hAnsi="Times New Roman" w:eastAsia="宋体" w:cs="Times New Roman"/>
                      <w:i w:val="0"/>
                      <w:color w:val="000000"/>
                      <w:kern w:val="0"/>
                      <w:sz w:val="21"/>
                      <w:szCs w:val="21"/>
                      <w:u w:val="none"/>
                      <w:lang w:val="en-US" w:eastAsia="zh-CN"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7" w:hRule="atLeast"/>
              </w:trPr>
              <w:tc>
                <w:tcPr>
                  <w:tcW w:w="1464" w:type="dxa"/>
                  <w:gridSpan w:val="2"/>
                  <w:vMerge w:val="continue"/>
                  <w:noWrap w:val="0"/>
                  <w:vAlign w:val="center"/>
                </w:tcPr>
                <w:p>
                  <w:pPr>
                    <w:adjustRightInd w:val="0"/>
                    <w:snapToGrid w:val="0"/>
                    <w:spacing w:line="240" w:lineRule="auto"/>
                    <w:jc w:val="center"/>
                    <w:rPr>
                      <w:color w:val="auto"/>
                      <w:sz w:val="21"/>
                      <w:szCs w:val="21"/>
                    </w:rPr>
                  </w:pPr>
                </w:p>
              </w:tc>
              <w:tc>
                <w:tcPr>
                  <w:tcW w:w="4915" w:type="dxa"/>
                  <w:gridSpan w:val="3"/>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NO</w:t>
                  </w:r>
                  <w:r>
                    <w:rPr>
                      <w:rFonts w:hint="eastAsia"/>
                      <w:color w:val="auto"/>
                      <w:sz w:val="21"/>
                      <w:szCs w:val="21"/>
                      <w:vertAlign w:val="subscript"/>
                    </w:rPr>
                    <w:t>X</w:t>
                  </w:r>
                </w:p>
              </w:tc>
              <w:tc>
                <w:tcPr>
                  <w:tcW w:w="1801" w:type="dxa"/>
                  <w:noWrap w:val="0"/>
                  <w:vAlign w:val="center"/>
                </w:tcPr>
                <w:p>
                  <w:pPr>
                    <w:keepNext w:val="0"/>
                    <w:keepLines w:val="0"/>
                    <w:widowControl/>
                    <w:suppressLineNumbers w:val="0"/>
                    <w:jc w:val="center"/>
                    <w:textAlignment w:val="center"/>
                    <w:rPr>
                      <w:rFonts w:hint="eastAsia"/>
                      <w:color w:val="auto"/>
                      <w:sz w:val="21"/>
                      <w:szCs w:val="21"/>
                    </w:rPr>
                  </w:pPr>
                  <w:r>
                    <w:rPr>
                      <w:rFonts w:hint="eastAsia" w:cs="Times New Roman"/>
                      <w:i w:val="0"/>
                      <w:color w:val="000000"/>
                      <w:kern w:val="0"/>
                      <w:sz w:val="21"/>
                      <w:szCs w:val="21"/>
                      <w:u w:val="none"/>
                      <w:lang w:val="en-US" w:eastAsia="zh-CN" w:bidi="ar"/>
                    </w:rPr>
                    <w:t>0.00</w:t>
                  </w:r>
                  <w:r>
                    <w:rPr>
                      <w:rFonts w:hint="default" w:ascii="Times New Roman" w:hAnsi="Times New Roman" w:eastAsia="宋体" w:cs="Times New Roman"/>
                      <w:i w:val="0"/>
                      <w:color w:val="000000"/>
                      <w:kern w:val="0"/>
                      <w:sz w:val="21"/>
                      <w:szCs w:val="21"/>
                      <w:u w:val="none"/>
                      <w:lang w:val="en-US" w:eastAsia="zh-CN" w:bidi="ar"/>
                    </w:rPr>
                    <w:t>315</w:t>
                  </w:r>
                </w:p>
              </w:tc>
            </w:tr>
          </w:tbl>
          <w:p>
            <w:pPr>
              <w:keepNext w:val="0"/>
              <w:keepLines w:val="0"/>
              <w:pageBreakBefore w:val="0"/>
              <w:widowControl w:val="0"/>
              <w:kinsoku/>
              <w:wordWrap/>
              <w:overflowPunct/>
              <w:topLinePunct w:val="0"/>
              <w:autoSpaceDE/>
              <w:autoSpaceDN/>
              <w:bidi w:val="0"/>
              <w:adjustRightInd w:val="0"/>
              <w:snapToGrid w:val="0"/>
              <w:spacing w:before="157" w:beforeLines="50"/>
              <w:jc w:val="center"/>
              <w:textAlignment w:val="auto"/>
              <w:rPr>
                <w:rFonts w:hint="eastAsia"/>
                <w:b/>
                <w:color w:val="auto"/>
                <w:sz w:val="21"/>
                <w:szCs w:val="21"/>
                <w:lang w:val="en-US" w:eastAsia="zh-CN"/>
              </w:rPr>
            </w:pPr>
            <w:r>
              <w:rPr>
                <w:rFonts w:hint="eastAsia"/>
                <w:b/>
                <w:color w:val="auto"/>
                <w:sz w:val="21"/>
                <w:szCs w:val="21"/>
                <w:lang w:val="en-US" w:eastAsia="zh-CN"/>
              </w:rPr>
              <w:t>表7-14  本项目大气污染物无组织排放量核算表</w:t>
            </w:r>
          </w:p>
          <w:tbl>
            <w:tblPr>
              <w:tblStyle w:val="15"/>
              <w:tblW w:w="82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6"/>
              <w:gridCol w:w="726"/>
              <w:gridCol w:w="802"/>
              <w:gridCol w:w="599"/>
              <w:gridCol w:w="77"/>
              <w:gridCol w:w="924"/>
              <w:gridCol w:w="1642"/>
              <w:gridCol w:w="1627"/>
              <w:gridCol w:w="14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31" w:hRule="atLeast"/>
                <w:jc w:val="center"/>
              </w:trPr>
              <w:tc>
                <w:tcPr>
                  <w:tcW w:w="376" w:type="dxa"/>
                  <w:vMerge w:val="restart"/>
                  <w:noWrap w:val="0"/>
                  <w:vAlign w:val="center"/>
                </w:tcPr>
                <w:p>
                  <w:pPr>
                    <w:adjustRightInd w:val="0"/>
                    <w:snapToGrid w:val="0"/>
                    <w:spacing w:line="240" w:lineRule="auto"/>
                    <w:jc w:val="center"/>
                    <w:rPr>
                      <w:b/>
                      <w:color w:val="auto"/>
                      <w:sz w:val="21"/>
                      <w:szCs w:val="21"/>
                    </w:rPr>
                  </w:pPr>
                  <w:r>
                    <w:rPr>
                      <w:b/>
                      <w:color w:val="auto"/>
                      <w:sz w:val="21"/>
                      <w:szCs w:val="21"/>
                    </w:rPr>
                    <w:t>序 号</w:t>
                  </w:r>
                </w:p>
              </w:tc>
              <w:tc>
                <w:tcPr>
                  <w:tcW w:w="726" w:type="dxa"/>
                  <w:vMerge w:val="restart"/>
                  <w:noWrap w:val="0"/>
                  <w:vAlign w:val="center"/>
                </w:tcPr>
                <w:p>
                  <w:pPr>
                    <w:adjustRightInd w:val="0"/>
                    <w:snapToGrid w:val="0"/>
                    <w:spacing w:line="240" w:lineRule="auto"/>
                    <w:jc w:val="center"/>
                    <w:rPr>
                      <w:b/>
                      <w:color w:val="auto"/>
                      <w:sz w:val="21"/>
                      <w:szCs w:val="21"/>
                    </w:rPr>
                  </w:pPr>
                  <w:r>
                    <w:rPr>
                      <w:b/>
                      <w:color w:val="auto"/>
                      <w:sz w:val="21"/>
                      <w:szCs w:val="21"/>
                    </w:rPr>
                    <w:t>排放口 编号</w:t>
                  </w:r>
                </w:p>
              </w:tc>
              <w:tc>
                <w:tcPr>
                  <w:tcW w:w="802" w:type="dxa"/>
                  <w:vMerge w:val="restart"/>
                  <w:noWrap w:val="0"/>
                  <w:vAlign w:val="center"/>
                </w:tcPr>
                <w:p>
                  <w:pPr>
                    <w:adjustRightInd w:val="0"/>
                    <w:snapToGrid w:val="0"/>
                    <w:spacing w:line="240" w:lineRule="auto"/>
                    <w:jc w:val="center"/>
                    <w:rPr>
                      <w:b/>
                      <w:color w:val="auto"/>
                      <w:sz w:val="21"/>
                      <w:szCs w:val="21"/>
                    </w:rPr>
                  </w:pPr>
                  <w:r>
                    <w:rPr>
                      <w:b/>
                      <w:color w:val="auto"/>
                      <w:sz w:val="21"/>
                      <w:szCs w:val="21"/>
                    </w:rPr>
                    <w:t>产污环节</w:t>
                  </w:r>
                </w:p>
              </w:tc>
              <w:tc>
                <w:tcPr>
                  <w:tcW w:w="676" w:type="dxa"/>
                  <w:gridSpan w:val="2"/>
                  <w:vMerge w:val="restart"/>
                  <w:noWrap w:val="0"/>
                  <w:vAlign w:val="center"/>
                </w:tcPr>
                <w:p>
                  <w:pPr>
                    <w:adjustRightInd w:val="0"/>
                    <w:snapToGrid w:val="0"/>
                    <w:spacing w:line="240" w:lineRule="auto"/>
                    <w:jc w:val="center"/>
                    <w:rPr>
                      <w:b/>
                      <w:color w:val="auto"/>
                      <w:sz w:val="21"/>
                      <w:szCs w:val="21"/>
                    </w:rPr>
                  </w:pPr>
                  <w:r>
                    <w:rPr>
                      <w:b/>
                      <w:color w:val="auto"/>
                      <w:sz w:val="21"/>
                      <w:szCs w:val="21"/>
                    </w:rPr>
                    <w:t>污染物</w:t>
                  </w:r>
                </w:p>
              </w:tc>
              <w:tc>
                <w:tcPr>
                  <w:tcW w:w="924" w:type="dxa"/>
                  <w:vMerge w:val="restart"/>
                  <w:noWrap w:val="0"/>
                  <w:vAlign w:val="center"/>
                </w:tcPr>
                <w:p>
                  <w:pPr>
                    <w:adjustRightInd w:val="0"/>
                    <w:snapToGrid w:val="0"/>
                    <w:spacing w:line="240" w:lineRule="auto"/>
                    <w:jc w:val="center"/>
                    <w:rPr>
                      <w:b/>
                      <w:color w:val="auto"/>
                      <w:sz w:val="21"/>
                      <w:szCs w:val="21"/>
                    </w:rPr>
                  </w:pPr>
                  <w:r>
                    <w:rPr>
                      <w:b/>
                      <w:color w:val="auto"/>
                      <w:sz w:val="21"/>
                      <w:szCs w:val="21"/>
                    </w:rPr>
                    <w:t>主要污染防治措施</w:t>
                  </w:r>
                </w:p>
              </w:tc>
              <w:tc>
                <w:tcPr>
                  <w:tcW w:w="3269" w:type="dxa"/>
                  <w:gridSpan w:val="2"/>
                  <w:noWrap w:val="0"/>
                  <w:vAlign w:val="center"/>
                </w:tcPr>
                <w:p>
                  <w:pPr>
                    <w:adjustRightInd w:val="0"/>
                    <w:snapToGrid w:val="0"/>
                    <w:spacing w:line="240" w:lineRule="auto"/>
                    <w:jc w:val="center"/>
                    <w:rPr>
                      <w:b/>
                      <w:color w:val="auto"/>
                      <w:sz w:val="21"/>
                      <w:szCs w:val="21"/>
                    </w:rPr>
                  </w:pPr>
                  <w:r>
                    <w:rPr>
                      <w:b/>
                      <w:color w:val="auto"/>
                      <w:sz w:val="21"/>
                      <w:szCs w:val="21"/>
                    </w:rPr>
                    <w:t>国家或地方污染物排放标准</w:t>
                  </w:r>
                </w:p>
              </w:tc>
              <w:tc>
                <w:tcPr>
                  <w:tcW w:w="1487" w:type="dxa"/>
                  <w:vMerge w:val="restart"/>
                  <w:noWrap w:val="0"/>
                  <w:vAlign w:val="center"/>
                </w:tcPr>
                <w:p>
                  <w:pPr>
                    <w:adjustRightInd w:val="0"/>
                    <w:snapToGrid w:val="0"/>
                    <w:spacing w:line="240" w:lineRule="auto"/>
                    <w:jc w:val="center"/>
                    <w:rPr>
                      <w:b/>
                      <w:color w:val="auto"/>
                      <w:sz w:val="21"/>
                      <w:szCs w:val="21"/>
                    </w:rPr>
                  </w:pPr>
                  <w:r>
                    <w:rPr>
                      <w:b/>
                      <w:color w:val="auto"/>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36" w:hRule="atLeast"/>
                <w:jc w:val="center"/>
              </w:trPr>
              <w:tc>
                <w:tcPr>
                  <w:tcW w:w="376" w:type="dxa"/>
                  <w:vMerge w:val="continue"/>
                  <w:noWrap w:val="0"/>
                  <w:vAlign w:val="center"/>
                </w:tcPr>
                <w:p>
                  <w:pPr>
                    <w:adjustRightInd w:val="0"/>
                    <w:snapToGrid w:val="0"/>
                    <w:spacing w:line="240" w:lineRule="auto"/>
                    <w:jc w:val="center"/>
                    <w:rPr>
                      <w:b/>
                      <w:color w:val="auto"/>
                      <w:sz w:val="21"/>
                      <w:szCs w:val="21"/>
                    </w:rPr>
                  </w:pPr>
                </w:p>
              </w:tc>
              <w:tc>
                <w:tcPr>
                  <w:tcW w:w="726" w:type="dxa"/>
                  <w:vMerge w:val="continue"/>
                  <w:noWrap w:val="0"/>
                  <w:vAlign w:val="center"/>
                </w:tcPr>
                <w:p>
                  <w:pPr>
                    <w:adjustRightInd w:val="0"/>
                    <w:snapToGrid w:val="0"/>
                    <w:spacing w:line="240" w:lineRule="auto"/>
                    <w:jc w:val="center"/>
                    <w:rPr>
                      <w:b/>
                      <w:color w:val="auto"/>
                      <w:sz w:val="21"/>
                      <w:szCs w:val="21"/>
                    </w:rPr>
                  </w:pPr>
                </w:p>
              </w:tc>
              <w:tc>
                <w:tcPr>
                  <w:tcW w:w="802" w:type="dxa"/>
                  <w:vMerge w:val="continue"/>
                  <w:noWrap w:val="0"/>
                  <w:vAlign w:val="center"/>
                </w:tcPr>
                <w:p>
                  <w:pPr>
                    <w:adjustRightInd w:val="0"/>
                    <w:snapToGrid w:val="0"/>
                    <w:spacing w:line="240" w:lineRule="auto"/>
                    <w:jc w:val="center"/>
                    <w:rPr>
                      <w:b/>
                      <w:color w:val="auto"/>
                      <w:sz w:val="21"/>
                      <w:szCs w:val="21"/>
                    </w:rPr>
                  </w:pPr>
                </w:p>
              </w:tc>
              <w:tc>
                <w:tcPr>
                  <w:tcW w:w="676" w:type="dxa"/>
                  <w:gridSpan w:val="2"/>
                  <w:vMerge w:val="continue"/>
                  <w:noWrap w:val="0"/>
                  <w:vAlign w:val="center"/>
                </w:tcPr>
                <w:p>
                  <w:pPr>
                    <w:adjustRightInd w:val="0"/>
                    <w:snapToGrid w:val="0"/>
                    <w:spacing w:line="240" w:lineRule="auto"/>
                    <w:jc w:val="center"/>
                    <w:rPr>
                      <w:b/>
                      <w:color w:val="auto"/>
                      <w:sz w:val="21"/>
                      <w:szCs w:val="21"/>
                    </w:rPr>
                  </w:pPr>
                </w:p>
              </w:tc>
              <w:tc>
                <w:tcPr>
                  <w:tcW w:w="924" w:type="dxa"/>
                  <w:vMerge w:val="continue"/>
                  <w:noWrap w:val="0"/>
                  <w:vAlign w:val="center"/>
                </w:tcPr>
                <w:p>
                  <w:pPr>
                    <w:adjustRightInd w:val="0"/>
                    <w:snapToGrid w:val="0"/>
                    <w:spacing w:line="240" w:lineRule="auto"/>
                    <w:jc w:val="center"/>
                    <w:rPr>
                      <w:b/>
                      <w:color w:val="auto"/>
                      <w:sz w:val="21"/>
                      <w:szCs w:val="21"/>
                    </w:rPr>
                  </w:pPr>
                </w:p>
              </w:tc>
              <w:tc>
                <w:tcPr>
                  <w:tcW w:w="1642" w:type="dxa"/>
                  <w:noWrap w:val="0"/>
                  <w:vAlign w:val="center"/>
                </w:tcPr>
                <w:p>
                  <w:pPr>
                    <w:adjustRightInd w:val="0"/>
                    <w:snapToGrid w:val="0"/>
                    <w:spacing w:line="240" w:lineRule="auto"/>
                    <w:jc w:val="center"/>
                    <w:rPr>
                      <w:b/>
                      <w:color w:val="auto"/>
                      <w:sz w:val="21"/>
                      <w:szCs w:val="21"/>
                    </w:rPr>
                  </w:pPr>
                  <w:r>
                    <w:rPr>
                      <w:b/>
                      <w:color w:val="auto"/>
                      <w:sz w:val="21"/>
                      <w:szCs w:val="21"/>
                    </w:rPr>
                    <w:t>标准名称</w:t>
                  </w:r>
                </w:p>
              </w:tc>
              <w:tc>
                <w:tcPr>
                  <w:tcW w:w="1627" w:type="dxa"/>
                  <w:noWrap w:val="0"/>
                  <w:vAlign w:val="center"/>
                </w:tcPr>
                <w:p>
                  <w:pPr>
                    <w:adjustRightInd w:val="0"/>
                    <w:snapToGrid w:val="0"/>
                    <w:spacing w:line="240" w:lineRule="auto"/>
                    <w:jc w:val="center"/>
                    <w:rPr>
                      <w:b/>
                      <w:color w:val="auto"/>
                      <w:sz w:val="21"/>
                      <w:szCs w:val="21"/>
                    </w:rPr>
                  </w:pPr>
                  <w:r>
                    <w:rPr>
                      <w:b/>
                      <w:color w:val="auto"/>
                      <w:sz w:val="21"/>
                      <w:szCs w:val="21"/>
                    </w:rPr>
                    <w:t>浓度限值/（μg/m</w:t>
                  </w:r>
                  <w:r>
                    <w:rPr>
                      <w:b/>
                      <w:color w:val="auto"/>
                      <w:sz w:val="21"/>
                      <w:szCs w:val="21"/>
                      <w:vertAlign w:val="superscript"/>
                    </w:rPr>
                    <w:t>3</w:t>
                  </w:r>
                  <w:r>
                    <w:rPr>
                      <w:b/>
                      <w:color w:val="auto"/>
                      <w:sz w:val="21"/>
                      <w:szCs w:val="21"/>
                    </w:rPr>
                    <w:t>）</w:t>
                  </w:r>
                </w:p>
              </w:tc>
              <w:tc>
                <w:tcPr>
                  <w:tcW w:w="1487" w:type="dxa"/>
                  <w:vMerge w:val="continue"/>
                  <w:noWrap w:val="0"/>
                  <w:vAlign w:val="center"/>
                </w:tcPr>
                <w:p>
                  <w:pPr>
                    <w:adjustRightInd w:val="0"/>
                    <w:snapToGrid w:val="0"/>
                    <w:spacing w:line="240" w:lineRule="auto"/>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591" w:hRule="atLeast"/>
                <w:jc w:val="center"/>
              </w:trPr>
              <w:tc>
                <w:tcPr>
                  <w:tcW w:w="376" w:type="dxa"/>
                  <w:noWrap w:val="0"/>
                  <w:vAlign w:val="center"/>
                </w:tcPr>
                <w:p>
                  <w:pPr>
                    <w:adjustRightInd w:val="0"/>
                    <w:snapToGrid w:val="0"/>
                    <w:spacing w:line="240" w:lineRule="auto"/>
                    <w:jc w:val="center"/>
                    <w:rPr>
                      <w:color w:val="auto"/>
                      <w:sz w:val="21"/>
                      <w:szCs w:val="21"/>
                    </w:rPr>
                  </w:pPr>
                  <w:r>
                    <w:rPr>
                      <w:color w:val="auto"/>
                      <w:sz w:val="21"/>
                      <w:szCs w:val="21"/>
                    </w:rPr>
                    <w:t>1</w:t>
                  </w:r>
                </w:p>
              </w:tc>
              <w:tc>
                <w:tcPr>
                  <w:tcW w:w="726" w:type="dxa"/>
                  <w:noWrap w:val="0"/>
                  <w:vAlign w:val="center"/>
                </w:tcPr>
                <w:p>
                  <w:pPr>
                    <w:adjustRightInd w:val="0"/>
                    <w:snapToGrid w:val="0"/>
                    <w:spacing w:line="240" w:lineRule="auto"/>
                    <w:jc w:val="center"/>
                    <w:rPr>
                      <w:color w:val="auto"/>
                      <w:sz w:val="21"/>
                      <w:szCs w:val="21"/>
                    </w:rPr>
                  </w:pPr>
                  <w:r>
                    <w:rPr>
                      <w:rFonts w:hint="eastAsia"/>
                      <w:color w:val="auto"/>
                      <w:sz w:val="21"/>
                      <w:szCs w:val="21"/>
                    </w:rPr>
                    <w:t>/</w:t>
                  </w:r>
                </w:p>
              </w:tc>
              <w:tc>
                <w:tcPr>
                  <w:tcW w:w="802" w:type="dxa"/>
                  <w:noWrap w:val="0"/>
                  <w:vAlign w:val="center"/>
                </w:tcPr>
                <w:p>
                  <w:pPr>
                    <w:adjustRightInd w:val="0"/>
                    <w:snapToGrid w:val="0"/>
                    <w:spacing w:line="240" w:lineRule="auto"/>
                    <w:jc w:val="center"/>
                    <w:rPr>
                      <w:color w:val="auto"/>
                      <w:sz w:val="21"/>
                      <w:szCs w:val="21"/>
                    </w:rPr>
                  </w:pPr>
                  <w:r>
                    <w:rPr>
                      <w:rFonts w:hint="eastAsia"/>
                      <w:color w:val="auto"/>
                      <w:sz w:val="21"/>
                      <w:szCs w:val="21"/>
                    </w:rPr>
                    <w:t>喷粉工序</w:t>
                  </w:r>
                </w:p>
              </w:tc>
              <w:tc>
                <w:tcPr>
                  <w:tcW w:w="676" w:type="dxa"/>
                  <w:gridSpan w:val="2"/>
                  <w:noWrap w:val="0"/>
                  <w:vAlign w:val="center"/>
                </w:tcPr>
                <w:p>
                  <w:pPr>
                    <w:adjustRightInd w:val="0"/>
                    <w:snapToGrid w:val="0"/>
                    <w:spacing w:line="240" w:lineRule="auto"/>
                    <w:jc w:val="center"/>
                    <w:rPr>
                      <w:color w:val="auto"/>
                      <w:sz w:val="21"/>
                      <w:szCs w:val="21"/>
                    </w:rPr>
                  </w:pPr>
                  <w:r>
                    <w:rPr>
                      <w:rFonts w:hint="eastAsia"/>
                      <w:color w:val="auto"/>
                      <w:sz w:val="21"/>
                      <w:szCs w:val="21"/>
                    </w:rPr>
                    <w:t>TSP</w:t>
                  </w:r>
                </w:p>
              </w:tc>
              <w:tc>
                <w:tcPr>
                  <w:tcW w:w="924" w:type="dxa"/>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提高收集效率，</w:t>
                  </w:r>
                  <w:r>
                    <w:rPr>
                      <w:color w:val="auto"/>
                      <w:sz w:val="21"/>
                      <w:szCs w:val="21"/>
                    </w:rPr>
                    <w:t>加强</w:t>
                  </w:r>
                  <w:r>
                    <w:rPr>
                      <w:rFonts w:hint="eastAsia"/>
                      <w:color w:val="auto"/>
                      <w:sz w:val="21"/>
                      <w:szCs w:val="21"/>
                    </w:rPr>
                    <w:t>车间通排风</w:t>
                  </w:r>
                </w:p>
              </w:tc>
              <w:tc>
                <w:tcPr>
                  <w:tcW w:w="1642" w:type="dxa"/>
                  <w:noWrap w:val="0"/>
                  <w:vAlign w:val="center"/>
                </w:tcPr>
                <w:p>
                  <w:pPr>
                    <w:adjustRightInd w:val="0"/>
                    <w:snapToGrid w:val="0"/>
                    <w:spacing w:line="240" w:lineRule="auto"/>
                    <w:jc w:val="center"/>
                    <w:rPr>
                      <w:b/>
                      <w:color w:val="auto"/>
                      <w:sz w:val="21"/>
                      <w:szCs w:val="21"/>
                    </w:rPr>
                  </w:pPr>
                  <w:r>
                    <w:rPr>
                      <w:rFonts w:hint="eastAsia"/>
                      <w:color w:val="auto"/>
                      <w:sz w:val="21"/>
                      <w:szCs w:val="21"/>
                    </w:rPr>
                    <w:t>广东省《大气污染物排放限值》（DB44/27-2001）第二时段无组织排放浓度监控限值</w:t>
                  </w:r>
                </w:p>
              </w:tc>
              <w:tc>
                <w:tcPr>
                  <w:tcW w:w="1627" w:type="dxa"/>
                  <w:noWrap w:val="0"/>
                  <w:vAlign w:val="center"/>
                </w:tcPr>
                <w:p>
                  <w:pPr>
                    <w:adjustRightInd w:val="0"/>
                    <w:snapToGrid w:val="0"/>
                    <w:spacing w:line="240" w:lineRule="auto"/>
                    <w:jc w:val="center"/>
                    <w:rPr>
                      <w:color w:val="auto"/>
                      <w:sz w:val="21"/>
                      <w:szCs w:val="21"/>
                    </w:rPr>
                  </w:pPr>
                  <w:r>
                    <w:rPr>
                      <w:rFonts w:hint="eastAsia"/>
                      <w:color w:val="auto"/>
                      <w:sz w:val="21"/>
                      <w:szCs w:val="21"/>
                    </w:rPr>
                    <w:t>1000</w:t>
                  </w:r>
                </w:p>
              </w:tc>
              <w:tc>
                <w:tcPr>
                  <w:tcW w:w="1487" w:type="dxa"/>
                  <w:noWrap w:val="0"/>
                  <w:vAlign w:val="center"/>
                </w:tcPr>
                <w:p>
                  <w:pPr>
                    <w:adjustRightInd w:val="0"/>
                    <w:snapToGrid w:val="0"/>
                    <w:spacing w:line="240" w:lineRule="auto"/>
                    <w:jc w:val="center"/>
                    <w:rPr>
                      <w:color w:val="auto"/>
                      <w:sz w:val="21"/>
                      <w:szCs w:val="21"/>
                    </w:rPr>
                  </w:pPr>
                  <w:r>
                    <w:rPr>
                      <w:rFonts w:hint="default" w:ascii="Times New Roman" w:hAnsi="Times New Roman" w:eastAsia="宋体" w:cs="Times New Roman"/>
                      <w:i w:val="0"/>
                      <w:color w:val="FF0000"/>
                      <w:kern w:val="0"/>
                      <w:sz w:val="21"/>
                      <w:szCs w:val="21"/>
                      <w:u w:val="none"/>
                      <w:lang w:val="en-US" w:eastAsia="zh-CN" w:bidi="ar"/>
                    </w:rPr>
                    <w:t>0.0</w:t>
                  </w:r>
                  <w:r>
                    <w:rPr>
                      <w:rFonts w:hint="eastAsia" w:cs="Times New Roman"/>
                      <w:i w:val="0"/>
                      <w:color w:val="FF0000"/>
                      <w:kern w:val="0"/>
                      <w:sz w:val="21"/>
                      <w:szCs w:val="21"/>
                      <w:u w:val="none"/>
                      <w:lang w:val="en-US" w:eastAsia="zh-CN" w:bidi="ar"/>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854" w:hRule="atLeast"/>
                <w:jc w:val="center"/>
              </w:trPr>
              <w:tc>
                <w:tcPr>
                  <w:tcW w:w="376" w:type="dxa"/>
                  <w:noWrap w:val="0"/>
                  <w:vAlign w:val="center"/>
                </w:tcPr>
                <w:p>
                  <w:pPr>
                    <w:adjustRightInd w:val="0"/>
                    <w:snapToGrid w:val="0"/>
                    <w:spacing w:line="240" w:lineRule="auto"/>
                    <w:jc w:val="center"/>
                    <w:rPr>
                      <w:color w:val="auto"/>
                      <w:sz w:val="21"/>
                      <w:szCs w:val="21"/>
                    </w:rPr>
                  </w:pPr>
                  <w:r>
                    <w:rPr>
                      <w:rFonts w:hint="eastAsia"/>
                      <w:color w:val="auto"/>
                      <w:sz w:val="21"/>
                      <w:szCs w:val="21"/>
                    </w:rPr>
                    <w:t>2</w:t>
                  </w:r>
                </w:p>
              </w:tc>
              <w:tc>
                <w:tcPr>
                  <w:tcW w:w="726" w:type="dxa"/>
                  <w:noWrap w:val="0"/>
                  <w:vAlign w:val="center"/>
                </w:tcPr>
                <w:p>
                  <w:pPr>
                    <w:adjustRightInd w:val="0"/>
                    <w:snapToGrid w:val="0"/>
                    <w:spacing w:line="240" w:lineRule="auto"/>
                    <w:jc w:val="center"/>
                    <w:rPr>
                      <w:color w:val="auto"/>
                      <w:sz w:val="21"/>
                      <w:szCs w:val="21"/>
                    </w:rPr>
                  </w:pPr>
                  <w:r>
                    <w:rPr>
                      <w:rFonts w:hint="eastAsia"/>
                      <w:color w:val="auto"/>
                      <w:sz w:val="21"/>
                      <w:szCs w:val="21"/>
                    </w:rPr>
                    <w:t>/</w:t>
                  </w:r>
                </w:p>
              </w:tc>
              <w:tc>
                <w:tcPr>
                  <w:tcW w:w="802" w:type="dxa"/>
                  <w:noWrap w:val="0"/>
                  <w:vAlign w:val="center"/>
                </w:tcPr>
                <w:p>
                  <w:pPr>
                    <w:adjustRightInd w:val="0"/>
                    <w:snapToGrid w:val="0"/>
                    <w:spacing w:line="240" w:lineRule="auto"/>
                    <w:jc w:val="center"/>
                    <w:rPr>
                      <w:color w:val="auto"/>
                      <w:sz w:val="21"/>
                      <w:szCs w:val="21"/>
                    </w:rPr>
                  </w:pPr>
                  <w:r>
                    <w:rPr>
                      <w:rFonts w:hint="eastAsia"/>
                      <w:color w:val="auto"/>
                      <w:sz w:val="21"/>
                      <w:szCs w:val="21"/>
                      <w:lang w:val="en-US" w:eastAsia="zh-CN"/>
                    </w:rPr>
                    <w:t>烘干</w:t>
                  </w:r>
                  <w:r>
                    <w:rPr>
                      <w:rFonts w:hint="eastAsia"/>
                      <w:color w:val="auto"/>
                      <w:sz w:val="21"/>
                      <w:szCs w:val="21"/>
                    </w:rPr>
                    <w:t>工序</w:t>
                  </w:r>
                </w:p>
              </w:tc>
              <w:tc>
                <w:tcPr>
                  <w:tcW w:w="676" w:type="dxa"/>
                  <w:gridSpan w:val="2"/>
                  <w:noWrap w:val="0"/>
                  <w:vAlign w:val="center"/>
                </w:tcPr>
                <w:p>
                  <w:pPr>
                    <w:adjustRightInd w:val="0"/>
                    <w:snapToGrid w:val="0"/>
                    <w:spacing w:line="240" w:lineRule="auto"/>
                    <w:jc w:val="center"/>
                    <w:rPr>
                      <w:color w:val="auto"/>
                      <w:sz w:val="21"/>
                      <w:szCs w:val="21"/>
                    </w:rPr>
                  </w:pPr>
                  <w:r>
                    <w:rPr>
                      <w:rFonts w:hint="eastAsia"/>
                      <w:color w:val="auto"/>
                      <w:sz w:val="21"/>
                      <w:szCs w:val="21"/>
                    </w:rPr>
                    <w:t>VOC</w:t>
                  </w:r>
                  <w:r>
                    <w:rPr>
                      <w:color w:val="auto"/>
                      <w:sz w:val="21"/>
                      <w:szCs w:val="21"/>
                    </w:rPr>
                    <w:t>s</w:t>
                  </w:r>
                </w:p>
              </w:tc>
              <w:tc>
                <w:tcPr>
                  <w:tcW w:w="924" w:type="dxa"/>
                  <w:noWrap w:val="0"/>
                  <w:vAlign w:val="center"/>
                </w:tcPr>
                <w:p>
                  <w:pPr>
                    <w:adjustRightInd w:val="0"/>
                    <w:snapToGrid w:val="0"/>
                    <w:spacing w:line="240" w:lineRule="auto"/>
                    <w:jc w:val="center"/>
                    <w:rPr>
                      <w:color w:val="auto"/>
                      <w:sz w:val="21"/>
                      <w:szCs w:val="21"/>
                    </w:rPr>
                  </w:pPr>
                  <w:r>
                    <w:rPr>
                      <w:rFonts w:hint="eastAsia"/>
                      <w:color w:val="auto"/>
                      <w:sz w:val="21"/>
                      <w:szCs w:val="21"/>
                    </w:rPr>
                    <w:t>提高收集效率，</w:t>
                  </w:r>
                  <w:r>
                    <w:rPr>
                      <w:color w:val="auto"/>
                      <w:sz w:val="21"/>
                      <w:szCs w:val="21"/>
                    </w:rPr>
                    <w:t>加强</w:t>
                  </w:r>
                  <w:r>
                    <w:rPr>
                      <w:rFonts w:hint="eastAsia"/>
                      <w:color w:val="auto"/>
                      <w:sz w:val="21"/>
                      <w:szCs w:val="21"/>
                    </w:rPr>
                    <w:t>车间通排风</w:t>
                  </w:r>
                </w:p>
              </w:tc>
              <w:tc>
                <w:tcPr>
                  <w:tcW w:w="1642" w:type="dxa"/>
                  <w:noWrap w:val="0"/>
                  <w:vAlign w:val="center"/>
                </w:tcPr>
                <w:p>
                  <w:pPr>
                    <w:adjustRightInd w:val="0"/>
                    <w:snapToGrid w:val="0"/>
                    <w:spacing w:line="240" w:lineRule="auto"/>
                    <w:jc w:val="center"/>
                    <w:rPr>
                      <w:color w:val="auto"/>
                      <w:sz w:val="21"/>
                      <w:szCs w:val="21"/>
                    </w:rPr>
                  </w:pPr>
                  <w:r>
                    <w:rPr>
                      <w:rFonts w:hint="eastAsia"/>
                      <w:color w:val="auto"/>
                      <w:sz w:val="21"/>
                      <w:szCs w:val="21"/>
                    </w:rPr>
                    <w:t>《家具制造行业挥发性有机化合物排放标准》（DB44/814-2010）无组织排放监控点浓度限值</w:t>
                  </w:r>
                </w:p>
              </w:tc>
              <w:tc>
                <w:tcPr>
                  <w:tcW w:w="1627" w:type="dxa"/>
                  <w:noWrap w:val="0"/>
                  <w:vAlign w:val="center"/>
                </w:tcPr>
                <w:p>
                  <w:pPr>
                    <w:adjustRightInd w:val="0"/>
                    <w:snapToGrid w:val="0"/>
                    <w:spacing w:line="240" w:lineRule="auto"/>
                    <w:jc w:val="center"/>
                    <w:rPr>
                      <w:color w:val="auto"/>
                      <w:sz w:val="21"/>
                      <w:szCs w:val="21"/>
                    </w:rPr>
                  </w:pPr>
                  <w:r>
                    <w:rPr>
                      <w:rFonts w:hint="eastAsia"/>
                      <w:color w:val="auto"/>
                      <w:sz w:val="21"/>
                      <w:szCs w:val="21"/>
                    </w:rPr>
                    <w:t>2000</w:t>
                  </w:r>
                </w:p>
              </w:tc>
              <w:tc>
                <w:tcPr>
                  <w:tcW w:w="1487" w:type="dxa"/>
                  <w:noWrap w:val="0"/>
                  <w:vAlign w:val="center"/>
                </w:tcPr>
                <w:p>
                  <w:pPr>
                    <w:adjustRightInd w:val="0"/>
                    <w:snapToGrid w:val="0"/>
                    <w:spacing w:line="240" w:lineRule="auto"/>
                    <w:jc w:val="center"/>
                    <w:rPr>
                      <w:color w:val="auto"/>
                      <w:sz w:val="21"/>
                      <w:szCs w:val="21"/>
                    </w:rPr>
                  </w:pPr>
                  <w:r>
                    <w:rPr>
                      <w:rFonts w:hint="default" w:ascii="Times New Roman" w:hAnsi="Times New Roman" w:eastAsia="宋体" w:cs="Times New Roman"/>
                      <w:i w:val="0"/>
                      <w:color w:val="FF0000"/>
                      <w:kern w:val="0"/>
                      <w:sz w:val="21"/>
                      <w:szCs w:val="21"/>
                      <w:u w:val="none"/>
                      <w:lang w:val="en-US" w:eastAsia="zh-CN" w:bidi="ar"/>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31" w:hRule="atLeast"/>
                <w:jc w:val="center"/>
              </w:trPr>
              <w:tc>
                <w:tcPr>
                  <w:tcW w:w="8260" w:type="dxa"/>
                  <w:gridSpan w:val="9"/>
                  <w:noWrap w:val="0"/>
                  <w:vAlign w:val="center"/>
                </w:tcPr>
                <w:p>
                  <w:pPr>
                    <w:adjustRightInd w:val="0"/>
                    <w:snapToGrid w:val="0"/>
                    <w:spacing w:line="240" w:lineRule="auto"/>
                    <w:jc w:val="center"/>
                    <w:rPr>
                      <w:color w:val="auto"/>
                      <w:sz w:val="21"/>
                      <w:szCs w:val="21"/>
                    </w:rPr>
                  </w:pPr>
                  <w:r>
                    <w:rPr>
                      <w:color w:val="auto"/>
                      <w:sz w:val="21"/>
                      <w:szCs w:val="21"/>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31" w:hRule="atLeast"/>
                <w:jc w:val="center"/>
              </w:trPr>
              <w:tc>
                <w:tcPr>
                  <w:tcW w:w="2503" w:type="dxa"/>
                  <w:gridSpan w:val="4"/>
                  <w:vMerge w:val="restart"/>
                  <w:noWrap w:val="0"/>
                  <w:vAlign w:val="center"/>
                </w:tcPr>
                <w:p>
                  <w:pPr>
                    <w:adjustRightInd w:val="0"/>
                    <w:snapToGrid w:val="0"/>
                    <w:spacing w:line="240" w:lineRule="auto"/>
                    <w:jc w:val="center"/>
                    <w:rPr>
                      <w:color w:val="auto"/>
                      <w:sz w:val="21"/>
                      <w:szCs w:val="21"/>
                    </w:rPr>
                  </w:pPr>
                  <w:r>
                    <w:rPr>
                      <w:color w:val="auto"/>
                      <w:sz w:val="21"/>
                      <w:szCs w:val="21"/>
                    </w:rPr>
                    <w:t>无组织排放总计</w:t>
                  </w:r>
                </w:p>
              </w:tc>
              <w:tc>
                <w:tcPr>
                  <w:tcW w:w="2643" w:type="dxa"/>
                  <w:gridSpan w:val="3"/>
                  <w:noWrap w:val="0"/>
                  <w:vAlign w:val="center"/>
                </w:tcPr>
                <w:p>
                  <w:pPr>
                    <w:adjustRightInd w:val="0"/>
                    <w:snapToGrid w:val="0"/>
                    <w:spacing w:line="240" w:lineRule="auto"/>
                    <w:jc w:val="center"/>
                    <w:rPr>
                      <w:color w:val="auto"/>
                      <w:sz w:val="21"/>
                      <w:szCs w:val="21"/>
                    </w:rPr>
                  </w:pPr>
                  <w:r>
                    <w:rPr>
                      <w:color w:val="auto"/>
                      <w:sz w:val="21"/>
                      <w:szCs w:val="21"/>
                    </w:rPr>
                    <w:t>TSP</w:t>
                  </w:r>
                </w:p>
              </w:tc>
              <w:tc>
                <w:tcPr>
                  <w:tcW w:w="3114" w:type="dxa"/>
                  <w:gridSpan w:val="2"/>
                  <w:noWrap w:val="0"/>
                  <w:vAlign w:val="center"/>
                </w:tcPr>
                <w:p>
                  <w:pPr>
                    <w:adjustRightInd w:val="0"/>
                    <w:snapToGrid w:val="0"/>
                    <w:spacing w:line="240" w:lineRule="auto"/>
                    <w:jc w:val="center"/>
                    <w:rPr>
                      <w:color w:val="FF0000"/>
                      <w:sz w:val="21"/>
                      <w:szCs w:val="21"/>
                    </w:rPr>
                  </w:pPr>
                  <w:r>
                    <w:rPr>
                      <w:color w:val="FF0000"/>
                      <w:sz w:val="21"/>
                      <w:szCs w:val="21"/>
                    </w:rPr>
                    <w:t>0.0</w:t>
                  </w:r>
                  <w:r>
                    <w:rPr>
                      <w:rFonts w:hint="eastAsia"/>
                      <w:color w:val="FF0000"/>
                      <w:sz w:val="21"/>
                      <w:szCs w:val="21"/>
                      <w:lang w:val="en-US" w:eastAsia="zh-CN"/>
                    </w:rPr>
                    <w:t>06</w:t>
                  </w:r>
                  <w:r>
                    <w:rPr>
                      <w:color w:val="FF0000"/>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50" w:hRule="atLeast"/>
                <w:jc w:val="center"/>
              </w:trPr>
              <w:tc>
                <w:tcPr>
                  <w:tcW w:w="2503" w:type="dxa"/>
                  <w:gridSpan w:val="4"/>
                  <w:vMerge w:val="continue"/>
                  <w:noWrap w:val="0"/>
                  <w:vAlign w:val="center"/>
                </w:tcPr>
                <w:p>
                  <w:pPr>
                    <w:adjustRightInd w:val="0"/>
                    <w:snapToGrid w:val="0"/>
                    <w:spacing w:line="240" w:lineRule="auto"/>
                    <w:jc w:val="center"/>
                    <w:rPr>
                      <w:color w:val="auto"/>
                      <w:sz w:val="21"/>
                      <w:szCs w:val="21"/>
                    </w:rPr>
                  </w:pPr>
                </w:p>
              </w:tc>
              <w:tc>
                <w:tcPr>
                  <w:tcW w:w="2643" w:type="dxa"/>
                  <w:gridSpan w:val="3"/>
                  <w:noWrap w:val="0"/>
                  <w:vAlign w:val="center"/>
                </w:tcPr>
                <w:p>
                  <w:pPr>
                    <w:adjustRightInd w:val="0"/>
                    <w:snapToGrid w:val="0"/>
                    <w:spacing w:line="240" w:lineRule="auto"/>
                    <w:jc w:val="center"/>
                    <w:rPr>
                      <w:color w:val="auto"/>
                      <w:sz w:val="21"/>
                      <w:szCs w:val="21"/>
                    </w:rPr>
                  </w:pPr>
                  <w:r>
                    <w:rPr>
                      <w:rFonts w:hint="eastAsia"/>
                      <w:color w:val="auto"/>
                      <w:sz w:val="21"/>
                      <w:szCs w:val="21"/>
                    </w:rPr>
                    <w:t>VOC</w:t>
                  </w:r>
                  <w:r>
                    <w:rPr>
                      <w:color w:val="auto"/>
                      <w:sz w:val="21"/>
                      <w:szCs w:val="21"/>
                    </w:rPr>
                    <w:t>s</w:t>
                  </w:r>
                </w:p>
              </w:tc>
              <w:tc>
                <w:tcPr>
                  <w:tcW w:w="3114" w:type="dxa"/>
                  <w:gridSpan w:val="2"/>
                  <w:noWrap w:val="0"/>
                  <w:vAlign w:val="center"/>
                </w:tcPr>
                <w:p>
                  <w:pPr>
                    <w:adjustRightInd w:val="0"/>
                    <w:snapToGrid w:val="0"/>
                    <w:spacing w:line="240" w:lineRule="auto"/>
                    <w:jc w:val="center"/>
                    <w:rPr>
                      <w:color w:val="FF0000"/>
                      <w:sz w:val="21"/>
                      <w:szCs w:val="21"/>
                    </w:rPr>
                  </w:pPr>
                  <w:r>
                    <w:rPr>
                      <w:rFonts w:hint="default" w:ascii="Times New Roman" w:hAnsi="Times New Roman" w:eastAsia="宋体" w:cs="Times New Roman"/>
                      <w:i w:val="0"/>
                      <w:color w:val="FF0000"/>
                      <w:kern w:val="0"/>
                      <w:sz w:val="21"/>
                      <w:szCs w:val="21"/>
                      <w:u w:val="none"/>
                      <w:lang w:val="en-US" w:eastAsia="zh-CN" w:bidi="ar"/>
                    </w:rPr>
                    <w:t>0.012</w:t>
                  </w:r>
                  <w:r>
                    <w:rPr>
                      <w:rFonts w:hint="eastAsia"/>
                      <w:color w:val="FF0000"/>
                      <w:sz w:val="21"/>
                      <w:szCs w:val="21"/>
                    </w:rPr>
                    <w:t xml:space="preserve"> </w:t>
                  </w:r>
                  <w:r>
                    <w:rPr>
                      <w:color w:val="FF0000"/>
                      <w:sz w:val="21"/>
                      <w:szCs w:val="21"/>
                    </w:rPr>
                    <w:t>t/a</w:t>
                  </w:r>
                </w:p>
              </w:tc>
            </w:tr>
          </w:tbl>
          <w:p>
            <w:pPr>
              <w:keepNext w:val="0"/>
              <w:keepLines w:val="0"/>
              <w:pageBreakBefore w:val="0"/>
              <w:widowControl w:val="0"/>
              <w:kinsoku/>
              <w:wordWrap/>
              <w:overflowPunct/>
              <w:topLinePunct w:val="0"/>
              <w:autoSpaceDE/>
              <w:autoSpaceDN/>
              <w:bidi w:val="0"/>
              <w:adjustRightInd w:val="0"/>
              <w:snapToGrid w:val="0"/>
              <w:spacing w:before="157" w:beforeLines="50"/>
              <w:jc w:val="center"/>
              <w:textAlignment w:val="auto"/>
              <w:rPr>
                <w:b/>
                <w:color w:val="auto"/>
                <w:sz w:val="21"/>
                <w:szCs w:val="21"/>
              </w:rPr>
            </w:pPr>
            <w:r>
              <w:rPr>
                <w:b/>
                <w:color w:val="auto"/>
                <w:sz w:val="21"/>
                <w:szCs w:val="21"/>
              </w:rPr>
              <w:t>表</w:t>
            </w:r>
            <w:r>
              <w:rPr>
                <w:rFonts w:hint="eastAsia"/>
                <w:b/>
                <w:color w:val="auto"/>
                <w:sz w:val="21"/>
                <w:szCs w:val="21"/>
                <w:lang w:val="en-US" w:eastAsia="zh-CN"/>
              </w:rPr>
              <w:t>7-1</w:t>
            </w:r>
            <w:r>
              <w:rPr>
                <w:rFonts w:hint="eastAsia"/>
                <w:b/>
                <w:color w:val="auto"/>
                <w:sz w:val="21"/>
                <w:szCs w:val="21"/>
              </w:rPr>
              <w:t>5</w:t>
            </w:r>
            <w:r>
              <w:rPr>
                <w:b/>
                <w:color w:val="auto"/>
                <w:sz w:val="21"/>
                <w:szCs w:val="21"/>
              </w:rPr>
              <w:t xml:space="preserve">  本</w:t>
            </w:r>
            <w:r>
              <w:rPr>
                <w:rFonts w:hint="eastAsia"/>
                <w:b/>
                <w:color w:val="auto"/>
                <w:sz w:val="21"/>
                <w:szCs w:val="21"/>
                <w:lang w:val="en-US" w:eastAsia="zh-CN"/>
              </w:rPr>
              <w:t>项目</w:t>
            </w:r>
            <w:r>
              <w:rPr>
                <w:b/>
                <w:color w:val="auto"/>
                <w:sz w:val="21"/>
                <w:szCs w:val="21"/>
              </w:rPr>
              <w:t>大气污染物年排放量核算表</w:t>
            </w:r>
          </w:p>
          <w:tbl>
            <w:tblPr>
              <w:tblStyle w:val="15"/>
              <w:tblW w:w="82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857"/>
              <w:gridCol w:w="3091"/>
              <w:gridCol w:w="3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9" w:hRule="exact"/>
                <w:jc w:val="center"/>
              </w:trPr>
              <w:tc>
                <w:tcPr>
                  <w:tcW w:w="1857" w:type="dxa"/>
                  <w:noWrap w:val="0"/>
                  <w:vAlign w:val="center"/>
                </w:tcPr>
                <w:p>
                  <w:pPr>
                    <w:adjustRightInd w:val="0"/>
                    <w:snapToGrid w:val="0"/>
                    <w:spacing w:line="240" w:lineRule="auto"/>
                    <w:jc w:val="center"/>
                    <w:rPr>
                      <w:b/>
                      <w:color w:val="auto"/>
                      <w:sz w:val="21"/>
                      <w:szCs w:val="21"/>
                    </w:rPr>
                  </w:pPr>
                  <w:r>
                    <w:rPr>
                      <w:b/>
                      <w:color w:val="auto"/>
                      <w:sz w:val="21"/>
                      <w:szCs w:val="21"/>
                    </w:rPr>
                    <w:t>序号</w:t>
                  </w:r>
                </w:p>
              </w:tc>
              <w:tc>
                <w:tcPr>
                  <w:tcW w:w="3091" w:type="dxa"/>
                  <w:noWrap w:val="0"/>
                  <w:vAlign w:val="center"/>
                </w:tcPr>
                <w:p>
                  <w:pPr>
                    <w:adjustRightInd w:val="0"/>
                    <w:snapToGrid w:val="0"/>
                    <w:spacing w:line="240" w:lineRule="auto"/>
                    <w:jc w:val="center"/>
                    <w:rPr>
                      <w:b/>
                      <w:color w:val="auto"/>
                      <w:sz w:val="21"/>
                      <w:szCs w:val="21"/>
                    </w:rPr>
                  </w:pPr>
                  <w:r>
                    <w:rPr>
                      <w:b/>
                      <w:color w:val="auto"/>
                      <w:sz w:val="21"/>
                      <w:szCs w:val="21"/>
                    </w:rPr>
                    <w:t>污染物</w:t>
                  </w:r>
                </w:p>
              </w:tc>
              <w:tc>
                <w:tcPr>
                  <w:tcW w:w="3272" w:type="dxa"/>
                  <w:noWrap w:val="0"/>
                  <w:vAlign w:val="center"/>
                </w:tcPr>
                <w:p>
                  <w:pPr>
                    <w:adjustRightInd w:val="0"/>
                    <w:snapToGrid w:val="0"/>
                    <w:spacing w:line="240" w:lineRule="auto"/>
                    <w:jc w:val="center"/>
                    <w:rPr>
                      <w:b/>
                      <w:color w:val="auto"/>
                      <w:sz w:val="21"/>
                      <w:szCs w:val="21"/>
                    </w:rPr>
                  </w:pPr>
                  <w:r>
                    <w:rPr>
                      <w:b/>
                      <w:color w:val="auto"/>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1" w:hRule="exact"/>
                <w:jc w:val="center"/>
              </w:trPr>
              <w:tc>
                <w:tcPr>
                  <w:tcW w:w="1857" w:type="dxa"/>
                  <w:noWrap w:val="0"/>
                  <w:vAlign w:val="center"/>
                </w:tcPr>
                <w:p>
                  <w:pPr>
                    <w:adjustRightInd w:val="0"/>
                    <w:snapToGrid w:val="0"/>
                    <w:spacing w:line="240" w:lineRule="auto"/>
                    <w:jc w:val="center"/>
                    <w:rPr>
                      <w:color w:val="auto"/>
                      <w:sz w:val="21"/>
                      <w:szCs w:val="21"/>
                    </w:rPr>
                  </w:pPr>
                  <w:r>
                    <w:rPr>
                      <w:color w:val="auto"/>
                      <w:sz w:val="21"/>
                      <w:szCs w:val="21"/>
                    </w:rPr>
                    <w:t>1</w:t>
                  </w:r>
                </w:p>
              </w:tc>
              <w:tc>
                <w:tcPr>
                  <w:tcW w:w="3091" w:type="dxa"/>
                  <w:noWrap w:val="0"/>
                  <w:vAlign w:val="center"/>
                </w:tcPr>
                <w:p>
                  <w:pPr>
                    <w:adjustRightInd w:val="0"/>
                    <w:snapToGrid w:val="0"/>
                    <w:spacing w:line="240" w:lineRule="auto"/>
                    <w:jc w:val="center"/>
                    <w:rPr>
                      <w:color w:val="auto"/>
                      <w:sz w:val="21"/>
                      <w:szCs w:val="21"/>
                    </w:rPr>
                  </w:pPr>
                  <w:r>
                    <w:rPr>
                      <w:rFonts w:hint="eastAsia"/>
                      <w:color w:val="auto"/>
                      <w:sz w:val="21"/>
                      <w:szCs w:val="21"/>
                    </w:rPr>
                    <w:t>TSP</w:t>
                  </w:r>
                </w:p>
              </w:tc>
              <w:tc>
                <w:tcPr>
                  <w:tcW w:w="3272" w:type="dxa"/>
                  <w:noWrap w:val="0"/>
                  <w:vAlign w:val="center"/>
                </w:tcPr>
                <w:p>
                  <w:pPr>
                    <w:adjustRightInd w:val="0"/>
                    <w:snapToGrid w:val="0"/>
                    <w:spacing w:line="240" w:lineRule="auto"/>
                    <w:jc w:val="center"/>
                    <w:rPr>
                      <w:rFonts w:hint="default" w:ascii="Times New Roman" w:hAnsi="Times New Roman" w:eastAsia="宋体" w:cs="Times New Roman"/>
                      <w:i w:val="0"/>
                      <w:color w:val="FF0000"/>
                      <w:kern w:val="0"/>
                      <w:sz w:val="21"/>
                      <w:szCs w:val="21"/>
                      <w:u w:val="none"/>
                      <w:lang w:val="en-US" w:eastAsia="zh-CN" w:bidi="ar"/>
                    </w:rPr>
                  </w:pPr>
                  <w:r>
                    <w:rPr>
                      <w:rFonts w:hint="eastAsia" w:ascii="Times New Roman" w:hAnsi="Times New Roman" w:eastAsia="宋体" w:cs="Times New Roman"/>
                      <w:i w:val="0"/>
                      <w:color w:val="FF0000"/>
                      <w:kern w:val="0"/>
                      <w:sz w:val="21"/>
                      <w:szCs w:val="21"/>
                      <w:u w:val="none"/>
                      <w:lang w:val="en-US" w:eastAsia="zh-CN" w:bidi="ar"/>
                    </w:rPr>
                    <w:t>0.1542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1" w:hRule="exact"/>
                <w:jc w:val="center"/>
              </w:trPr>
              <w:tc>
                <w:tcPr>
                  <w:tcW w:w="1857" w:type="dxa"/>
                  <w:noWrap w:val="0"/>
                  <w:vAlign w:val="center"/>
                </w:tcPr>
                <w:p>
                  <w:pPr>
                    <w:adjustRightInd w:val="0"/>
                    <w:snapToGrid w:val="0"/>
                    <w:spacing w:line="240" w:lineRule="auto"/>
                    <w:jc w:val="center"/>
                    <w:rPr>
                      <w:color w:val="auto"/>
                      <w:sz w:val="21"/>
                      <w:szCs w:val="21"/>
                    </w:rPr>
                  </w:pPr>
                  <w:r>
                    <w:rPr>
                      <w:rFonts w:hint="eastAsia"/>
                      <w:color w:val="auto"/>
                      <w:sz w:val="21"/>
                      <w:szCs w:val="21"/>
                    </w:rPr>
                    <w:t>2</w:t>
                  </w:r>
                </w:p>
              </w:tc>
              <w:tc>
                <w:tcPr>
                  <w:tcW w:w="3091" w:type="dxa"/>
                  <w:noWrap w:val="0"/>
                  <w:vAlign w:val="center"/>
                </w:tcPr>
                <w:p>
                  <w:pPr>
                    <w:adjustRightInd w:val="0"/>
                    <w:snapToGrid w:val="0"/>
                    <w:spacing w:line="240" w:lineRule="auto"/>
                    <w:jc w:val="center"/>
                    <w:rPr>
                      <w:color w:val="auto"/>
                      <w:sz w:val="21"/>
                      <w:szCs w:val="21"/>
                    </w:rPr>
                  </w:pPr>
                  <w:r>
                    <w:rPr>
                      <w:rFonts w:hint="eastAsia"/>
                      <w:color w:val="auto"/>
                      <w:sz w:val="21"/>
                      <w:szCs w:val="21"/>
                    </w:rPr>
                    <w:t>VOC</w:t>
                  </w:r>
                  <w:r>
                    <w:rPr>
                      <w:color w:val="auto"/>
                      <w:sz w:val="21"/>
                      <w:szCs w:val="21"/>
                    </w:rPr>
                    <w:t>s</w:t>
                  </w:r>
                </w:p>
              </w:tc>
              <w:tc>
                <w:tcPr>
                  <w:tcW w:w="3272" w:type="dxa"/>
                  <w:noWrap w:val="0"/>
                  <w:vAlign w:val="center"/>
                </w:tcPr>
                <w:p>
                  <w:pPr>
                    <w:adjustRightInd w:val="0"/>
                    <w:snapToGrid w:val="0"/>
                    <w:spacing w:line="240" w:lineRule="auto"/>
                    <w:jc w:val="center"/>
                    <w:rPr>
                      <w:rFonts w:hint="default" w:ascii="Times New Roman" w:hAnsi="Times New Roman" w:eastAsia="宋体" w:cs="Times New Roman"/>
                      <w:i w:val="0"/>
                      <w:color w:val="FF0000"/>
                      <w:kern w:val="0"/>
                      <w:sz w:val="21"/>
                      <w:szCs w:val="21"/>
                      <w:u w:val="none"/>
                      <w:lang w:val="en-US" w:eastAsia="zh-CN" w:bidi="ar"/>
                    </w:rPr>
                  </w:pPr>
                  <w:r>
                    <w:rPr>
                      <w:rFonts w:hint="eastAsia" w:ascii="Times New Roman" w:hAnsi="Times New Roman" w:eastAsia="宋体" w:cs="Times New Roman"/>
                      <w:i w:val="0"/>
                      <w:color w:val="FF0000"/>
                      <w:kern w:val="0"/>
                      <w:sz w:val="21"/>
                      <w:szCs w:val="21"/>
                      <w:u w:val="none"/>
                      <w:lang w:val="en-US" w:eastAsia="zh-CN" w:bidi="ar"/>
                    </w:rPr>
                    <w:t>0.0228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1" w:hRule="exact"/>
                <w:jc w:val="center"/>
              </w:trPr>
              <w:tc>
                <w:tcPr>
                  <w:tcW w:w="1857" w:type="dxa"/>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3</w:t>
                  </w:r>
                </w:p>
              </w:tc>
              <w:tc>
                <w:tcPr>
                  <w:tcW w:w="3091" w:type="dxa"/>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SO</w:t>
                  </w:r>
                  <w:r>
                    <w:rPr>
                      <w:rFonts w:hint="eastAsia"/>
                      <w:color w:val="auto"/>
                      <w:sz w:val="21"/>
                      <w:szCs w:val="21"/>
                      <w:vertAlign w:val="subscript"/>
                    </w:rPr>
                    <w:t>2</w:t>
                  </w:r>
                </w:p>
              </w:tc>
              <w:tc>
                <w:tcPr>
                  <w:tcW w:w="3272" w:type="dxa"/>
                  <w:noWrap w:val="0"/>
                  <w:vAlign w:val="center"/>
                </w:tcPr>
                <w:p>
                  <w:pPr>
                    <w:adjustRightInd w:val="0"/>
                    <w:snapToGrid w:val="0"/>
                    <w:spacing w:line="240" w:lineRule="auto"/>
                    <w:jc w:val="center"/>
                    <w:rPr>
                      <w:rFonts w:hint="eastAsia" w:ascii="Times New Roman" w:hAnsi="Times New Roman" w:eastAsia="宋体" w:cs="Times New Roman"/>
                      <w:i w:val="0"/>
                      <w:color w:val="FF0000"/>
                      <w:kern w:val="0"/>
                      <w:sz w:val="21"/>
                      <w:szCs w:val="21"/>
                      <w:u w:val="none"/>
                      <w:lang w:val="en-US" w:eastAsia="zh-CN" w:bidi="ar"/>
                    </w:rPr>
                  </w:pPr>
                  <w:r>
                    <w:rPr>
                      <w:rFonts w:hint="eastAsia" w:ascii="Times New Roman" w:hAnsi="Times New Roman" w:eastAsia="宋体" w:cs="Times New Roman"/>
                      <w:i w:val="0"/>
                      <w:color w:val="FF0000"/>
                      <w:kern w:val="0"/>
                      <w:sz w:val="21"/>
                      <w:szCs w:val="21"/>
                      <w:u w:val="none"/>
                      <w:lang w:val="en-US" w:eastAsia="zh-CN" w:bidi="ar"/>
                    </w:rPr>
                    <w:t>0.000005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31" w:hRule="exact"/>
                <w:jc w:val="center"/>
              </w:trPr>
              <w:tc>
                <w:tcPr>
                  <w:tcW w:w="1857" w:type="dxa"/>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4</w:t>
                  </w:r>
                </w:p>
              </w:tc>
              <w:tc>
                <w:tcPr>
                  <w:tcW w:w="3091" w:type="dxa"/>
                  <w:noWrap w:val="0"/>
                  <w:vAlign w:val="center"/>
                </w:tcPr>
                <w:p>
                  <w:pPr>
                    <w:adjustRightInd w:val="0"/>
                    <w:snapToGrid w:val="0"/>
                    <w:spacing w:line="240" w:lineRule="auto"/>
                    <w:jc w:val="center"/>
                    <w:rPr>
                      <w:rFonts w:hint="eastAsia"/>
                      <w:color w:val="auto"/>
                      <w:sz w:val="21"/>
                      <w:szCs w:val="21"/>
                    </w:rPr>
                  </w:pPr>
                  <w:r>
                    <w:rPr>
                      <w:rFonts w:hint="eastAsia"/>
                      <w:color w:val="auto"/>
                      <w:sz w:val="21"/>
                      <w:szCs w:val="21"/>
                    </w:rPr>
                    <w:t>NO</w:t>
                  </w:r>
                  <w:r>
                    <w:rPr>
                      <w:rFonts w:hint="eastAsia"/>
                      <w:color w:val="auto"/>
                      <w:sz w:val="21"/>
                      <w:szCs w:val="21"/>
                      <w:vertAlign w:val="subscript"/>
                    </w:rPr>
                    <w:t>X</w:t>
                  </w:r>
                </w:p>
              </w:tc>
              <w:tc>
                <w:tcPr>
                  <w:tcW w:w="3272" w:type="dxa"/>
                  <w:noWrap w:val="0"/>
                  <w:vAlign w:val="center"/>
                </w:tcPr>
                <w:p>
                  <w:pPr>
                    <w:adjustRightInd w:val="0"/>
                    <w:snapToGrid w:val="0"/>
                    <w:spacing w:line="240" w:lineRule="auto"/>
                    <w:jc w:val="center"/>
                    <w:rPr>
                      <w:rFonts w:hint="eastAsia" w:ascii="Times New Roman" w:hAnsi="Times New Roman" w:eastAsia="宋体" w:cs="Times New Roman"/>
                      <w:i w:val="0"/>
                      <w:color w:val="FF0000"/>
                      <w:kern w:val="0"/>
                      <w:sz w:val="21"/>
                      <w:szCs w:val="21"/>
                      <w:u w:val="none"/>
                      <w:lang w:val="en-US" w:eastAsia="zh-CN" w:bidi="ar"/>
                    </w:rPr>
                  </w:pPr>
                  <w:r>
                    <w:rPr>
                      <w:rFonts w:hint="eastAsia" w:ascii="Times New Roman" w:hAnsi="Times New Roman" w:eastAsia="宋体" w:cs="Times New Roman"/>
                      <w:i w:val="0"/>
                      <w:color w:val="FF0000"/>
                      <w:kern w:val="0"/>
                      <w:sz w:val="21"/>
                      <w:szCs w:val="21"/>
                      <w:u w:val="none"/>
                      <w:lang w:val="en-US" w:eastAsia="zh-CN" w:bidi="ar"/>
                    </w:rPr>
                    <w:t>0.00315</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eastAsia"/>
                <w:b/>
                <w:sz w:val="24"/>
              </w:rPr>
            </w:pPr>
            <w:r>
              <w:rPr>
                <w:rFonts w:hint="eastAsia"/>
                <w:b/>
                <w:sz w:val="24"/>
              </w:rPr>
              <w:t>（</w:t>
            </w:r>
            <w:r>
              <w:rPr>
                <w:rFonts w:hint="eastAsia"/>
                <w:b/>
                <w:sz w:val="24"/>
                <w:lang w:val="en-US" w:eastAsia="zh-CN"/>
              </w:rPr>
              <w:t>7</w:t>
            </w:r>
            <w:r>
              <w:rPr>
                <w:rFonts w:hint="eastAsia"/>
                <w:b/>
                <w:sz w:val="24"/>
              </w:rPr>
              <w:t>）建设项目大气环境影响评价自查表</w:t>
            </w:r>
          </w:p>
          <w:p>
            <w:pPr>
              <w:spacing w:line="360" w:lineRule="auto"/>
              <w:ind w:firstLine="480" w:firstLineChars="200"/>
              <w:rPr>
                <w:bCs/>
                <w:sz w:val="24"/>
              </w:rPr>
            </w:pPr>
            <w:r>
              <w:rPr>
                <w:rFonts w:hint="eastAsia"/>
                <w:bCs/>
                <w:sz w:val="24"/>
              </w:rPr>
              <w:t>根据</w:t>
            </w:r>
            <w:r>
              <w:rPr>
                <w:bCs/>
                <w:sz w:val="24"/>
              </w:rPr>
              <w:t>《环境影响评价技术导则-大气环境》（HJ2.2-2018）</w:t>
            </w:r>
            <w:r>
              <w:rPr>
                <w:rFonts w:hint="eastAsia"/>
                <w:bCs/>
                <w:sz w:val="24"/>
              </w:rPr>
              <w:t>，本项目大气环境影响评价自查表见下表；</w:t>
            </w:r>
          </w:p>
          <w:p>
            <w:pPr>
              <w:pStyle w:val="6"/>
              <w:keepNext w:val="0"/>
              <w:keepLines w:val="0"/>
              <w:pageBreakBefore w:val="0"/>
              <w:widowControl w:val="0"/>
              <w:kinsoku/>
              <w:wordWrap/>
              <w:overflowPunct/>
              <w:topLinePunct w:val="0"/>
              <w:autoSpaceDE/>
              <w:autoSpaceDN/>
              <w:bidi w:val="0"/>
              <w:adjustRightInd/>
              <w:snapToGrid/>
              <w:spacing w:before="157" w:beforeLines="50" w:after="0"/>
              <w:jc w:val="center"/>
              <w:textAlignment w:val="auto"/>
              <w:rPr>
                <w:rFonts w:ascii="宋体" w:hAnsi="宋体" w:eastAsia="宋体" w:cs="宋体"/>
                <w:b/>
                <w:bCs/>
                <w:sz w:val="21"/>
                <w:szCs w:val="21"/>
              </w:rPr>
            </w:pPr>
            <w:r>
              <w:rPr>
                <w:rFonts w:ascii="Times New Roman" w:hAnsi="Times New Roman" w:eastAsia="宋体" w:cs="Times New Roman"/>
                <w:b/>
                <w:bCs/>
                <w:sz w:val="21"/>
                <w:szCs w:val="21"/>
              </w:rPr>
              <w:t>表</w:t>
            </w:r>
            <w:r>
              <w:rPr>
                <w:rFonts w:hint="eastAsia" w:ascii="Times New Roman" w:hAnsi="Times New Roman" w:eastAsia="宋体" w:cs="Times New Roman"/>
                <w:b/>
                <w:bCs/>
                <w:sz w:val="21"/>
                <w:szCs w:val="21"/>
              </w:rPr>
              <w:t>7-1</w:t>
            </w:r>
            <w:r>
              <w:rPr>
                <w:rFonts w:hint="eastAsia" w:ascii="Times New Roman" w:hAnsi="Times New Roman" w:eastAsia="宋体" w:cs="Times New Roman"/>
                <w:b/>
                <w:bCs/>
                <w:sz w:val="21"/>
                <w:szCs w:val="21"/>
                <w:lang w:val="en-US" w:eastAsia="zh-CN"/>
              </w:rPr>
              <w:t xml:space="preserve">6  </w:t>
            </w:r>
            <w:r>
              <w:rPr>
                <w:rFonts w:ascii="Times New Roman" w:hAnsi="Times New Roman" w:eastAsia="宋体" w:cs="Times New Roman"/>
                <w:b/>
                <w:bCs/>
                <w:sz w:val="21"/>
                <w:szCs w:val="21"/>
              </w:rPr>
              <w:t>建</w:t>
            </w:r>
            <w:r>
              <w:rPr>
                <w:rFonts w:hint="eastAsia" w:ascii="宋体" w:hAnsi="宋体" w:eastAsia="宋体" w:cs="宋体"/>
                <w:b/>
                <w:bCs/>
                <w:sz w:val="21"/>
                <w:szCs w:val="21"/>
              </w:rPr>
              <w:t>设项目大气环境影响评价自查表</w:t>
            </w:r>
          </w:p>
          <w:tbl>
            <w:tblPr>
              <w:tblStyle w:val="39"/>
              <w:tblW w:w="8296"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
            <w:tblGrid>
              <w:gridCol w:w="814"/>
              <w:gridCol w:w="1789"/>
              <w:gridCol w:w="824"/>
              <w:gridCol w:w="433"/>
              <w:gridCol w:w="79"/>
              <w:gridCol w:w="83"/>
              <w:gridCol w:w="112"/>
              <w:gridCol w:w="164"/>
              <w:gridCol w:w="240"/>
              <w:gridCol w:w="375"/>
              <w:gridCol w:w="197"/>
              <w:gridCol w:w="28"/>
              <w:gridCol w:w="73"/>
              <w:gridCol w:w="512"/>
              <w:gridCol w:w="179"/>
              <w:gridCol w:w="226"/>
              <w:gridCol w:w="232"/>
              <w:gridCol w:w="518"/>
              <w:gridCol w:w="311"/>
              <w:gridCol w:w="665"/>
              <w:gridCol w:w="44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2603" w:type="dxa"/>
                  <w:gridSpan w:val="2"/>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工作内容</w:t>
                  </w:r>
                </w:p>
              </w:tc>
              <w:tc>
                <w:tcPr>
                  <w:tcW w:w="5693" w:type="dxa"/>
                  <w:gridSpan w:val="19"/>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自查项目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restart"/>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评价等级与范围</w:t>
                  </w: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评价等级</w:t>
                  </w:r>
                </w:p>
              </w:tc>
              <w:tc>
                <w:tcPr>
                  <w:tcW w:w="1935" w:type="dxa"/>
                  <w:gridSpan w:val="7"/>
                  <w:tcBorders>
                    <w:tl2br w:val="nil"/>
                    <w:tr2bl w:val="nil"/>
                  </w:tcBorders>
                  <w:vAlign w:val="center"/>
                </w:tcPr>
                <w:p>
                  <w:pPr>
                    <w:pStyle w:val="38"/>
                    <w:spacing w:line="240" w:lineRule="auto"/>
                    <w:ind w:left="0" w:leftChars="0" w:firstLine="0" w:firstLineChars="0"/>
                    <w:jc w:val="center"/>
                    <w:rPr>
                      <w:szCs w:val="21"/>
                    </w:rPr>
                  </w:pPr>
                  <w:r>
                    <w:rPr>
                      <w:rFonts w:hint="eastAsia"/>
                      <w:szCs w:val="21"/>
                    </w:rPr>
                    <w:t>一级</w:t>
                  </w:r>
                  <w:r>
                    <w:rPr>
                      <w:rFonts w:hint="eastAsia" w:ascii="仿宋" w:hAnsi="仿宋" w:eastAsia="仿宋"/>
                      <w:szCs w:val="21"/>
                    </w:rPr>
                    <w:t>□</w:t>
                  </w:r>
                </w:p>
              </w:tc>
              <w:tc>
                <w:tcPr>
                  <w:tcW w:w="2340" w:type="dxa"/>
                  <w:gridSpan w:val="9"/>
                  <w:tcBorders>
                    <w:tl2br w:val="nil"/>
                    <w:tr2bl w:val="nil"/>
                  </w:tcBorders>
                  <w:vAlign w:val="center"/>
                </w:tcPr>
                <w:p>
                  <w:pPr>
                    <w:pStyle w:val="38"/>
                    <w:spacing w:line="240" w:lineRule="auto"/>
                    <w:ind w:left="0" w:leftChars="0" w:firstLine="0" w:firstLineChars="0"/>
                    <w:jc w:val="center"/>
                    <w:rPr>
                      <w:rFonts w:eastAsia="仿宋"/>
                      <w:szCs w:val="21"/>
                    </w:rPr>
                  </w:pPr>
                  <w:r>
                    <w:rPr>
                      <w:rFonts w:hint="eastAsia"/>
                      <w:szCs w:val="21"/>
                    </w:rPr>
                    <w:t>二级</w:t>
                  </w:r>
                  <w:r>
                    <w:rPr>
                      <w:rFonts w:hint="eastAsia" w:ascii="仿宋" w:hAnsi="仿宋" w:eastAsia="仿宋"/>
                      <w:szCs w:val="21"/>
                    </w:rPr>
                    <w:t>□</w:t>
                  </w:r>
                </w:p>
              </w:tc>
              <w:tc>
                <w:tcPr>
                  <w:tcW w:w="1418" w:type="dxa"/>
                  <w:gridSpan w:val="3"/>
                  <w:tcBorders>
                    <w:tl2br w:val="nil"/>
                    <w:tr2bl w:val="nil"/>
                  </w:tcBorders>
                  <w:vAlign w:val="center"/>
                </w:tcPr>
                <w:p>
                  <w:pPr>
                    <w:pStyle w:val="38"/>
                    <w:spacing w:line="240" w:lineRule="auto"/>
                    <w:ind w:left="0" w:leftChars="0" w:firstLine="0" w:firstLineChars="0"/>
                    <w:jc w:val="center"/>
                    <w:rPr>
                      <w:rFonts w:hint="eastAsia" w:eastAsia="仿宋"/>
                      <w:szCs w:val="21"/>
                      <w:lang w:eastAsia="zh-CN"/>
                    </w:rPr>
                  </w:pPr>
                  <w:r>
                    <w:rPr>
                      <w:rFonts w:hint="eastAsia"/>
                      <w:szCs w:val="21"/>
                    </w:rPr>
                    <w:t>三级</w:t>
                  </w:r>
                  <w:r>
                    <w:rPr>
                      <w:rFonts w:hint="eastAsia" w:ascii="仿宋" w:hAnsi="仿宋" w:eastAsia="仿宋"/>
                      <w:szCs w:val="21"/>
                      <w:lang w:eastAsia="zh-CN"/>
                    </w:rPr>
                    <w:sym w:font="Wingdings 2" w:char="0052"/>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评价范围</w:t>
                  </w:r>
                </w:p>
              </w:tc>
              <w:tc>
                <w:tcPr>
                  <w:tcW w:w="1935" w:type="dxa"/>
                  <w:gridSpan w:val="7"/>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边长</w:t>
                  </w:r>
                  <w:r>
                    <w:rPr>
                      <w:szCs w:val="21"/>
                    </w:rPr>
                    <w:t>=50km</w:t>
                  </w:r>
                  <w:r>
                    <w:rPr>
                      <w:rFonts w:hint="eastAsia" w:ascii="仿宋" w:hAnsi="仿宋" w:eastAsia="仿宋"/>
                      <w:szCs w:val="21"/>
                    </w:rPr>
                    <w:t>□</w:t>
                  </w:r>
                </w:p>
              </w:tc>
              <w:tc>
                <w:tcPr>
                  <w:tcW w:w="2340" w:type="dxa"/>
                  <w:gridSpan w:val="9"/>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边长</w:t>
                  </w:r>
                  <w:r>
                    <w:rPr>
                      <w:szCs w:val="21"/>
                    </w:rPr>
                    <w:t>5</w:t>
                  </w:r>
                  <w:r>
                    <w:rPr>
                      <w:rFonts w:hint="eastAsia"/>
                      <w:szCs w:val="21"/>
                    </w:rPr>
                    <w:t>～</w:t>
                  </w:r>
                  <w:r>
                    <w:rPr>
                      <w:szCs w:val="21"/>
                    </w:rPr>
                    <w:t>50km</w:t>
                  </w:r>
                  <w:r>
                    <w:rPr>
                      <w:rFonts w:hint="eastAsia" w:ascii="仿宋" w:hAnsi="仿宋" w:eastAsia="仿宋"/>
                      <w:szCs w:val="21"/>
                    </w:rPr>
                    <w:t>□</w:t>
                  </w:r>
                </w:p>
              </w:tc>
              <w:tc>
                <w:tcPr>
                  <w:tcW w:w="1418" w:type="dxa"/>
                  <w:gridSpan w:val="3"/>
                  <w:tcBorders>
                    <w:tl2br w:val="nil"/>
                    <w:tr2bl w:val="nil"/>
                  </w:tcBorders>
                  <w:vAlign w:val="center"/>
                </w:tcPr>
                <w:p>
                  <w:pPr>
                    <w:pStyle w:val="38"/>
                    <w:spacing w:line="240" w:lineRule="auto"/>
                    <w:ind w:left="0" w:leftChars="0" w:firstLine="0" w:firstLineChars="0"/>
                    <w:jc w:val="center"/>
                    <w:rPr>
                      <w:rFonts w:eastAsia="仿宋"/>
                      <w:szCs w:val="21"/>
                    </w:rPr>
                  </w:pPr>
                  <w:r>
                    <w:rPr>
                      <w:rFonts w:hint="eastAsia"/>
                      <w:szCs w:val="21"/>
                    </w:rPr>
                    <w:t>边长</w:t>
                  </w:r>
                  <w:r>
                    <w:rPr>
                      <w:szCs w:val="21"/>
                    </w:rPr>
                    <w:t>=5 km</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restart"/>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评价因子</w:t>
                  </w:r>
                </w:p>
              </w:tc>
              <w:tc>
                <w:tcPr>
                  <w:tcW w:w="1789" w:type="dxa"/>
                  <w:tcBorders>
                    <w:tl2br w:val="nil"/>
                    <w:tr2bl w:val="nil"/>
                  </w:tcBorders>
                  <w:vAlign w:val="center"/>
                </w:tcPr>
                <w:p>
                  <w:pPr>
                    <w:pStyle w:val="38"/>
                    <w:spacing w:line="240" w:lineRule="auto"/>
                    <w:ind w:left="0" w:leftChars="0" w:firstLine="0" w:firstLineChars="0"/>
                    <w:jc w:val="center"/>
                    <w:rPr>
                      <w:szCs w:val="21"/>
                    </w:rPr>
                  </w:pPr>
                  <w:r>
                    <w:rPr>
                      <w:szCs w:val="21"/>
                    </w:rPr>
                    <w:t>SO</w:t>
                  </w:r>
                  <w:r>
                    <w:rPr>
                      <w:szCs w:val="21"/>
                      <w:vertAlign w:val="subscript"/>
                    </w:rPr>
                    <w:t xml:space="preserve">2 </w:t>
                  </w:r>
                  <w:r>
                    <w:rPr>
                      <w:szCs w:val="21"/>
                    </w:rPr>
                    <w:t>+NO</w:t>
                  </w:r>
                  <w:r>
                    <w:rPr>
                      <w:i/>
                      <w:szCs w:val="21"/>
                      <w:vertAlign w:val="subscript"/>
                    </w:rPr>
                    <w:t>x</w:t>
                  </w:r>
                  <w:r>
                    <w:rPr>
                      <w:rFonts w:hint="eastAsia"/>
                      <w:szCs w:val="21"/>
                    </w:rPr>
                    <w:t>排放量</w:t>
                  </w:r>
                </w:p>
              </w:tc>
              <w:tc>
                <w:tcPr>
                  <w:tcW w:w="1935" w:type="dxa"/>
                  <w:gridSpan w:val="7"/>
                  <w:tcBorders>
                    <w:tl2br w:val="nil"/>
                    <w:tr2bl w:val="nil"/>
                  </w:tcBorders>
                  <w:vAlign w:val="center"/>
                </w:tcPr>
                <w:p>
                  <w:pPr>
                    <w:pStyle w:val="38"/>
                    <w:spacing w:line="240" w:lineRule="auto"/>
                    <w:ind w:left="0" w:leftChars="0" w:firstLine="0" w:firstLineChars="0"/>
                    <w:jc w:val="center"/>
                    <w:rPr>
                      <w:szCs w:val="21"/>
                    </w:rPr>
                  </w:pPr>
                  <w:r>
                    <w:rPr>
                      <w:rFonts w:hint="eastAsia" w:ascii="仿宋" w:hAnsi="仿宋" w:eastAsia="仿宋"/>
                      <w:szCs w:val="21"/>
                    </w:rPr>
                    <w:t>≥</w:t>
                  </w:r>
                  <w:r>
                    <w:rPr>
                      <w:szCs w:val="21"/>
                    </w:rPr>
                    <w:t xml:space="preserve"> 2000t/a</w:t>
                  </w:r>
                  <w:r>
                    <w:rPr>
                      <w:rFonts w:hint="eastAsia" w:ascii="仿宋" w:hAnsi="仿宋" w:eastAsia="仿宋"/>
                      <w:szCs w:val="21"/>
                    </w:rPr>
                    <w:t>□</w:t>
                  </w:r>
                </w:p>
              </w:tc>
              <w:tc>
                <w:tcPr>
                  <w:tcW w:w="2340" w:type="dxa"/>
                  <w:gridSpan w:val="9"/>
                  <w:tcBorders>
                    <w:tl2br w:val="nil"/>
                    <w:tr2bl w:val="nil"/>
                  </w:tcBorders>
                  <w:vAlign w:val="center"/>
                </w:tcPr>
                <w:p>
                  <w:pPr>
                    <w:pStyle w:val="38"/>
                    <w:spacing w:line="240" w:lineRule="auto"/>
                    <w:ind w:left="0" w:leftChars="0" w:firstLine="0" w:firstLineChars="0"/>
                    <w:jc w:val="center"/>
                    <w:rPr>
                      <w:szCs w:val="21"/>
                    </w:rPr>
                  </w:pPr>
                  <w:r>
                    <w:rPr>
                      <w:rFonts w:eastAsia="仿宋"/>
                      <w:szCs w:val="21"/>
                    </w:rPr>
                    <w:t xml:space="preserve">500 ~ </w:t>
                  </w:r>
                  <w:r>
                    <w:rPr>
                      <w:szCs w:val="21"/>
                    </w:rPr>
                    <w:t>2000t/a</w:t>
                  </w:r>
                  <w:r>
                    <w:rPr>
                      <w:rFonts w:hint="eastAsia" w:ascii="仿宋" w:hAnsi="仿宋" w:eastAsia="仿宋"/>
                      <w:szCs w:val="21"/>
                    </w:rPr>
                    <w:t>□</w:t>
                  </w:r>
                </w:p>
              </w:tc>
              <w:tc>
                <w:tcPr>
                  <w:tcW w:w="1418" w:type="dxa"/>
                  <w:gridSpan w:val="3"/>
                  <w:tcBorders>
                    <w:tl2br w:val="nil"/>
                    <w:tr2bl w:val="nil"/>
                  </w:tcBorders>
                  <w:vAlign w:val="center"/>
                </w:tcPr>
                <w:p>
                  <w:pPr>
                    <w:pStyle w:val="38"/>
                    <w:spacing w:line="240" w:lineRule="auto"/>
                    <w:ind w:left="0" w:leftChars="0" w:firstLine="0" w:firstLineChars="0"/>
                    <w:jc w:val="center"/>
                    <w:rPr>
                      <w:rFonts w:hint="eastAsia" w:eastAsia="仿宋"/>
                      <w:szCs w:val="21"/>
                      <w:lang w:eastAsia="zh-CN"/>
                    </w:rPr>
                  </w:pPr>
                  <w:r>
                    <w:rPr>
                      <w:rFonts w:hint="eastAsia" w:ascii="仿宋" w:hAnsi="仿宋" w:eastAsia="仿宋"/>
                      <w:szCs w:val="21"/>
                    </w:rPr>
                    <w:t>＜</w:t>
                  </w:r>
                  <w:r>
                    <w:rPr>
                      <w:szCs w:val="21"/>
                    </w:rPr>
                    <w:t>500 t/a</w:t>
                  </w:r>
                  <w:r>
                    <w:rPr>
                      <w:rFonts w:hint="eastAsia" w:ascii="仿宋" w:hAnsi="仿宋" w:eastAsia="仿宋"/>
                      <w:szCs w:val="21"/>
                      <w:lang w:eastAsia="zh-CN"/>
                    </w:rPr>
                    <w:sym w:font="Wingdings 2" w:char="0052"/>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90"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评价因子</w:t>
                  </w:r>
                </w:p>
              </w:tc>
              <w:tc>
                <w:tcPr>
                  <w:tcW w:w="3757" w:type="dxa"/>
                  <w:gridSpan w:val="15"/>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基本污染物 (</w:t>
                  </w:r>
                  <w:r>
                    <w:rPr>
                      <w:rFonts w:hint="eastAsia"/>
                      <w:szCs w:val="21"/>
                      <w:lang w:val="en-US"/>
                    </w:rPr>
                    <w:t>SO</w:t>
                  </w:r>
                  <w:r>
                    <w:rPr>
                      <w:rFonts w:hint="eastAsia"/>
                      <w:szCs w:val="21"/>
                      <w:vertAlign w:val="subscript"/>
                      <w:lang w:val="en-US"/>
                    </w:rPr>
                    <w:t>2</w:t>
                  </w:r>
                  <w:r>
                    <w:rPr>
                      <w:rFonts w:hint="eastAsia"/>
                      <w:szCs w:val="21"/>
                      <w:lang w:val="en-US"/>
                    </w:rPr>
                    <w:t>、NO</w:t>
                  </w:r>
                  <w:r>
                    <w:rPr>
                      <w:rFonts w:hint="eastAsia"/>
                      <w:szCs w:val="21"/>
                      <w:vertAlign w:val="subscript"/>
                      <w:lang w:val="en-US"/>
                    </w:rPr>
                    <w:t>2</w:t>
                  </w:r>
                  <w:r>
                    <w:rPr>
                      <w:rFonts w:hint="eastAsia"/>
                      <w:szCs w:val="21"/>
                      <w:lang w:val="en-US"/>
                    </w:rPr>
                    <w:t>、PM</w:t>
                  </w:r>
                  <w:r>
                    <w:rPr>
                      <w:rFonts w:hint="eastAsia"/>
                      <w:szCs w:val="21"/>
                      <w:vertAlign w:val="subscript"/>
                      <w:lang w:val="en-US"/>
                    </w:rPr>
                    <w:t>10</w:t>
                  </w:r>
                  <w:r>
                    <w:rPr>
                      <w:rFonts w:hint="eastAsia"/>
                      <w:szCs w:val="21"/>
                      <w:lang w:val="en-US"/>
                    </w:rPr>
                    <w:t>、PM</w:t>
                  </w:r>
                  <w:r>
                    <w:rPr>
                      <w:rFonts w:hint="eastAsia"/>
                      <w:szCs w:val="21"/>
                      <w:vertAlign w:val="subscript"/>
                      <w:lang w:val="en-US"/>
                    </w:rPr>
                    <w:t>2.5</w:t>
                  </w:r>
                  <w:r>
                    <w:rPr>
                      <w:rFonts w:hint="eastAsia"/>
                      <w:szCs w:val="21"/>
                      <w:lang w:val="en-US"/>
                    </w:rPr>
                    <w:t>、CO、O</w:t>
                  </w:r>
                  <w:r>
                    <w:rPr>
                      <w:rFonts w:hint="eastAsia"/>
                      <w:szCs w:val="21"/>
                      <w:vertAlign w:val="subscript"/>
                      <w:lang w:val="en-US"/>
                    </w:rPr>
                    <w:t>3</w:t>
                  </w:r>
                  <w:r>
                    <w:rPr>
                      <w:szCs w:val="21"/>
                    </w:rPr>
                    <w:t>)</w:t>
                  </w:r>
                </w:p>
                <w:p>
                  <w:pPr>
                    <w:pStyle w:val="38"/>
                    <w:spacing w:line="240" w:lineRule="auto"/>
                    <w:ind w:left="0" w:leftChars="0" w:firstLine="0" w:firstLineChars="0"/>
                    <w:jc w:val="center"/>
                    <w:rPr>
                      <w:szCs w:val="21"/>
                    </w:rPr>
                  </w:pPr>
                  <w:r>
                    <w:rPr>
                      <w:rFonts w:hint="eastAsia"/>
                      <w:szCs w:val="21"/>
                    </w:rPr>
                    <w:t>其他污染物 (</w:t>
                  </w:r>
                  <w:r>
                    <w:rPr>
                      <w:rFonts w:hint="eastAsia"/>
                      <w:szCs w:val="21"/>
                      <w:lang w:val="en-US"/>
                    </w:rPr>
                    <w:t>VOC</w:t>
                  </w:r>
                  <w:r>
                    <w:rPr>
                      <w:rFonts w:hint="eastAsia"/>
                      <w:szCs w:val="21"/>
                      <w:vertAlign w:val="subscript"/>
                      <w:lang w:val="en-US"/>
                    </w:rPr>
                    <w:t>S</w:t>
                  </w:r>
                  <w:r>
                    <w:rPr>
                      <w:szCs w:val="21"/>
                    </w:rPr>
                    <w:t>)</w:t>
                  </w:r>
                </w:p>
              </w:tc>
              <w:tc>
                <w:tcPr>
                  <w:tcW w:w="1936" w:type="dxa"/>
                  <w:gridSpan w:val="4"/>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包括二次</w:t>
                  </w:r>
                  <w:r>
                    <w:rPr>
                      <w:szCs w:val="21"/>
                    </w:rPr>
                    <w:t>PM</w:t>
                  </w:r>
                  <w:r>
                    <w:rPr>
                      <w:szCs w:val="21"/>
                      <w:vertAlign w:val="subscript"/>
                    </w:rPr>
                    <w:t>2.5</w:t>
                  </w:r>
                  <w:r>
                    <w:rPr>
                      <w:rFonts w:hint="eastAsia" w:ascii="仿宋" w:hAnsi="仿宋" w:eastAsia="仿宋"/>
                      <w:szCs w:val="21"/>
                    </w:rPr>
                    <w:t>□</w:t>
                  </w:r>
                </w:p>
                <w:p>
                  <w:pPr>
                    <w:pStyle w:val="38"/>
                    <w:spacing w:line="240" w:lineRule="auto"/>
                    <w:ind w:left="0" w:leftChars="0" w:firstLine="0" w:firstLineChars="0"/>
                    <w:jc w:val="center"/>
                    <w:rPr>
                      <w:rFonts w:hint="eastAsia" w:eastAsia="仿宋"/>
                      <w:szCs w:val="21"/>
                      <w:lang w:eastAsia="zh-CN"/>
                    </w:rPr>
                  </w:pPr>
                  <w:r>
                    <w:rPr>
                      <w:rFonts w:hint="eastAsia"/>
                      <w:szCs w:val="21"/>
                    </w:rPr>
                    <w:t>不包括二次</w:t>
                  </w:r>
                  <w:r>
                    <w:rPr>
                      <w:szCs w:val="21"/>
                    </w:rPr>
                    <w:t>PM</w:t>
                  </w:r>
                  <w:r>
                    <w:rPr>
                      <w:szCs w:val="21"/>
                      <w:vertAlign w:val="subscript"/>
                    </w:rPr>
                    <w:t>2.5</w:t>
                  </w:r>
                  <w:r>
                    <w:rPr>
                      <w:rFonts w:hint="eastAsia" w:ascii="仿宋" w:hAnsi="仿宋" w:eastAsia="仿宋"/>
                      <w:szCs w:val="21"/>
                      <w:lang w:eastAsia="zh-CN"/>
                    </w:rPr>
                    <w:sym w:font="Wingdings 2" w:char="0052"/>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评价标准</w:t>
                  </w: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评价标准</w:t>
                  </w:r>
                </w:p>
              </w:tc>
              <w:tc>
                <w:tcPr>
                  <w:tcW w:w="1531" w:type="dxa"/>
                  <w:gridSpan w:val="5"/>
                  <w:tcBorders>
                    <w:tl2br w:val="nil"/>
                    <w:tr2bl w:val="nil"/>
                  </w:tcBorders>
                  <w:vAlign w:val="center"/>
                </w:tcPr>
                <w:p>
                  <w:pPr>
                    <w:pStyle w:val="38"/>
                    <w:spacing w:line="240" w:lineRule="auto"/>
                    <w:ind w:left="0" w:leftChars="0" w:firstLine="0" w:firstLineChars="0"/>
                    <w:jc w:val="center"/>
                    <w:rPr>
                      <w:rFonts w:hint="eastAsia" w:eastAsia="仿宋"/>
                      <w:szCs w:val="21"/>
                      <w:lang w:eastAsia="zh-CN"/>
                    </w:rPr>
                  </w:pPr>
                  <w:r>
                    <w:rPr>
                      <w:rFonts w:hint="eastAsia"/>
                      <w:szCs w:val="21"/>
                    </w:rPr>
                    <w:t>国家标准</w:t>
                  </w:r>
                  <w:r>
                    <w:rPr>
                      <w:rFonts w:hint="eastAsia" w:ascii="仿宋" w:hAnsi="仿宋" w:eastAsia="仿宋"/>
                      <w:szCs w:val="21"/>
                      <w:lang w:eastAsia="zh-CN"/>
                    </w:rPr>
                    <w:sym w:font="Wingdings 2" w:char="0052"/>
                  </w:r>
                </w:p>
              </w:tc>
              <w:tc>
                <w:tcPr>
                  <w:tcW w:w="1589" w:type="dxa"/>
                  <w:gridSpan w:val="7"/>
                  <w:tcBorders>
                    <w:tl2br w:val="nil"/>
                    <w:tr2bl w:val="nil"/>
                  </w:tcBorders>
                  <w:vAlign w:val="center"/>
                </w:tcPr>
                <w:p>
                  <w:pPr>
                    <w:pStyle w:val="38"/>
                    <w:spacing w:line="240" w:lineRule="auto"/>
                    <w:ind w:left="0" w:leftChars="0" w:firstLine="0" w:firstLineChars="0"/>
                    <w:jc w:val="center"/>
                    <w:rPr>
                      <w:szCs w:val="21"/>
                    </w:rPr>
                  </w:pPr>
                  <w:r>
                    <w:rPr>
                      <w:rFonts w:hint="eastAsia"/>
                      <w:szCs w:val="21"/>
                    </w:rPr>
                    <w:t xml:space="preserve">地方标准 </w:t>
                  </w:r>
                  <w:r>
                    <w:rPr>
                      <w:rFonts w:hint="eastAsia" w:ascii="仿宋" w:hAnsi="仿宋" w:eastAsia="仿宋"/>
                      <w:szCs w:val="21"/>
                    </w:rPr>
                    <w:t>□</w:t>
                  </w:r>
                </w:p>
              </w:tc>
              <w:tc>
                <w:tcPr>
                  <w:tcW w:w="1155" w:type="dxa"/>
                  <w:gridSpan w:val="4"/>
                  <w:tcBorders>
                    <w:tl2br w:val="nil"/>
                    <w:tr2bl w:val="nil"/>
                  </w:tcBorders>
                  <w:vAlign w:val="center"/>
                </w:tcPr>
                <w:p>
                  <w:pPr>
                    <w:pStyle w:val="38"/>
                    <w:spacing w:line="240" w:lineRule="auto"/>
                    <w:ind w:left="0" w:leftChars="0" w:firstLine="0" w:firstLineChars="0"/>
                    <w:jc w:val="center"/>
                    <w:rPr>
                      <w:szCs w:val="21"/>
                    </w:rPr>
                  </w:pPr>
                  <w:r>
                    <w:rPr>
                      <w:rFonts w:hint="eastAsia"/>
                      <w:szCs w:val="21"/>
                    </w:rPr>
                    <w:t>附录</w:t>
                  </w:r>
                  <w:r>
                    <w:rPr>
                      <w:szCs w:val="21"/>
                    </w:rPr>
                    <w:t xml:space="preserve">D </w:t>
                  </w:r>
                  <w:r>
                    <w:rPr>
                      <w:rFonts w:hint="eastAsia" w:ascii="仿宋" w:hAnsi="仿宋" w:eastAsia="仿宋"/>
                      <w:szCs w:val="21"/>
                    </w:rPr>
                    <w:t>□</w:t>
                  </w:r>
                </w:p>
              </w:tc>
              <w:tc>
                <w:tcPr>
                  <w:tcW w:w="1418" w:type="dxa"/>
                  <w:gridSpan w:val="3"/>
                  <w:tcBorders>
                    <w:tl2br w:val="nil"/>
                    <w:tr2bl w:val="nil"/>
                  </w:tcBorders>
                  <w:vAlign w:val="center"/>
                </w:tcPr>
                <w:p>
                  <w:pPr>
                    <w:pStyle w:val="38"/>
                    <w:spacing w:line="240" w:lineRule="auto"/>
                    <w:ind w:left="0" w:leftChars="0" w:firstLine="0" w:firstLineChars="0"/>
                    <w:jc w:val="center"/>
                    <w:rPr>
                      <w:szCs w:val="21"/>
                    </w:rPr>
                  </w:pPr>
                  <w:r>
                    <w:rPr>
                      <w:rFonts w:hint="eastAsia"/>
                      <w:szCs w:val="21"/>
                    </w:rPr>
                    <w:t xml:space="preserve">其他标准 </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restart"/>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现状评价</w:t>
                  </w: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环境功能区</w:t>
                  </w:r>
                </w:p>
              </w:tc>
              <w:tc>
                <w:tcPr>
                  <w:tcW w:w="1531" w:type="dxa"/>
                  <w:gridSpan w:val="5"/>
                  <w:tcBorders>
                    <w:tl2br w:val="nil"/>
                    <w:tr2bl w:val="nil"/>
                  </w:tcBorders>
                  <w:vAlign w:val="center"/>
                </w:tcPr>
                <w:p>
                  <w:pPr>
                    <w:pStyle w:val="38"/>
                    <w:spacing w:line="240" w:lineRule="auto"/>
                    <w:ind w:left="0" w:leftChars="0" w:firstLine="0" w:firstLineChars="0"/>
                    <w:jc w:val="center"/>
                    <w:rPr>
                      <w:szCs w:val="21"/>
                    </w:rPr>
                  </w:pPr>
                  <w:r>
                    <w:rPr>
                      <w:rFonts w:hint="eastAsia"/>
                      <w:szCs w:val="21"/>
                    </w:rPr>
                    <w:t>一类区</w:t>
                  </w:r>
                  <w:r>
                    <w:rPr>
                      <w:rFonts w:hint="eastAsia" w:ascii="仿宋" w:hAnsi="仿宋" w:eastAsia="仿宋"/>
                      <w:szCs w:val="21"/>
                    </w:rPr>
                    <w:t>□</w:t>
                  </w:r>
                </w:p>
              </w:tc>
              <w:tc>
                <w:tcPr>
                  <w:tcW w:w="1589" w:type="dxa"/>
                  <w:gridSpan w:val="7"/>
                  <w:tcBorders>
                    <w:tl2br w:val="nil"/>
                    <w:tr2bl w:val="nil"/>
                  </w:tcBorders>
                  <w:vAlign w:val="center"/>
                </w:tcPr>
                <w:p>
                  <w:pPr>
                    <w:pStyle w:val="38"/>
                    <w:spacing w:line="240" w:lineRule="auto"/>
                    <w:ind w:left="0" w:leftChars="0" w:firstLine="0" w:firstLineChars="0"/>
                    <w:jc w:val="center"/>
                    <w:rPr>
                      <w:rFonts w:hint="eastAsia" w:eastAsia="仿宋"/>
                      <w:szCs w:val="21"/>
                      <w:lang w:eastAsia="zh-CN"/>
                    </w:rPr>
                  </w:pPr>
                  <w:r>
                    <w:rPr>
                      <w:rFonts w:hint="eastAsia"/>
                      <w:szCs w:val="21"/>
                    </w:rPr>
                    <w:t>二类区</w:t>
                  </w:r>
                  <w:r>
                    <w:rPr>
                      <w:rFonts w:hint="eastAsia" w:ascii="仿宋" w:hAnsi="仿宋" w:eastAsia="仿宋"/>
                      <w:szCs w:val="21"/>
                      <w:lang w:eastAsia="zh-CN"/>
                    </w:rPr>
                    <w:sym w:font="Wingdings 2" w:char="0052"/>
                  </w:r>
                </w:p>
              </w:tc>
              <w:tc>
                <w:tcPr>
                  <w:tcW w:w="2573" w:type="dxa"/>
                  <w:gridSpan w:val="7"/>
                  <w:tcBorders>
                    <w:tl2br w:val="nil"/>
                    <w:tr2bl w:val="nil"/>
                  </w:tcBorders>
                  <w:vAlign w:val="center"/>
                </w:tcPr>
                <w:p>
                  <w:pPr>
                    <w:pStyle w:val="38"/>
                    <w:spacing w:line="240" w:lineRule="auto"/>
                    <w:ind w:left="0" w:leftChars="0" w:firstLine="0" w:firstLineChars="0"/>
                    <w:jc w:val="center"/>
                    <w:rPr>
                      <w:szCs w:val="21"/>
                    </w:rPr>
                  </w:pPr>
                  <w:r>
                    <w:rPr>
                      <w:rFonts w:hint="eastAsia"/>
                      <w:szCs w:val="21"/>
                    </w:rPr>
                    <w:t>一类区和二类区</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评价基准年</w:t>
                  </w:r>
                </w:p>
              </w:tc>
              <w:tc>
                <w:tcPr>
                  <w:tcW w:w="5693" w:type="dxa"/>
                  <w:gridSpan w:val="19"/>
                  <w:tcBorders>
                    <w:tl2br w:val="nil"/>
                    <w:tr2bl w:val="nil"/>
                  </w:tcBorders>
                  <w:vAlign w:val="center"/>
                </w:tcPr>
                <w:p>
                  <w:pPr>
                    <w:pStyle w:val="38"/>
                    <w:spacing w:line="240" w:lineRule="auto"/>
                    <w:ind w:left="0" w:leftChars="0" w:firstLine="0" w:firstLineChars="0"/>
                    <w:jc w:val="center"/>
                    <w:rPr>
                      <w:szCs w:val="21"/>
                    </w:rPr>
                  </w:pPr>
                  <w:r>
                    <w:rPr>
                      <w:rFonts w:hint="eastAsia"/>
                      <w:szCs w:val="21"/>
                    </w:rPr>
                    <w:t>（</w:t>
                  </w:r>
                  <w:r>
                    <w:rPr>
                      <w:rFonts w:hint="eastAsia"/>
                      <w:szCs w:val="21"/>
                      <w:lang w:val="en-US"/>
                    </w:rPr>
                    <w:t>2017</w:t>
                  </w:r>
                  <w:r>
                    <w:rPr>
                      <w:rFonts w:hint="eastAsia"/>
                      <w:szCs w:val="21"/>
                    </w:rPr>
                    <w:t>）年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环境空气质量</w:t>
                  </w:r>
                  <w:r>
                    <w:rPr>
                      <w:szCs w:val="21"/>
                    </w:rPr>
                    <w:br w:type="textWrapping"/>
                  </w:r>
                  <w:r>
                    <w:rPr>
                      <w:rFonts w:hint="eastAsia"/>
                      <w:szCs w:val="21"/>
                    </w:rPr>
                    <w:t>现状调查数据来源</w:t>
                  </w:r>
                </w:p>
              </w:tc>
              <w:tc>
                <w:tcPr>
                  <w:tcW w:w="1935" w:type="dxa"/>
                  <w:gridSpan w:val="7"/>
                  <w:tcBorders>
                    <w:tl2br w:val="nil"/>
                    <w:tr2bl w:val="nil"/>
                  </w:tcBorders>
                  <w:vAlign w:val="center"/>
                </w:tcPr>
                <w:p>
                  <w:pPr>
                    <w:pStyle w:val="38"/>
                    <w:spacing w:line="240" w:lineRule="auto"/>
                    <w:ind w:left="0" w:leftChars="0" w:firstLine="0" w:firstLineChars="0"/>
                    <w:jc w:val="center"/>
                    <w:rPr>
                      <w:szCs w:val="21"/>
                    </w:rPr>
                  </w:pPr>
                  <w:r>
                    <w:rPr>
                      <w:rFonts w:hint="eastAsia"/>
                      <w:szCs w:val="21"/>
                    </w:rPr>
                    <w:t>长期例行监测数据</w:t>
                  </w:r>
                  <w:r>
                    <w:rPr>
                      <w:rFonts w:hint="eastAsia" w:ascii="仿宋" w:hAnsi="仿宋" w:eastAsia="仿宋"/>
                      <w:szCs w:val="21"/>
                    </w:rPr>
                    <w:t>□</w:t>
                  </w:r>
                </w:p>
              </w:tc>
              <w:tc>
                <w:tcPr>
                  <w:tcW w:w="2340" w:type="dxa"/>
                  <w:gridSpan w:val="9"/>
                  <w:tcBorders>
                    <w:tl2br w:val="nil"/>
                    <w:tr2bl w:val="nil"/>
                  </w:tcBorders>
                  <w:vAlign w:val="center"/>
                </w:tcPr>
                <w:p>
                  <w:pPr>
                    <w:pStyle w:val="38"/>
                    <w:spacing w:line="240" w:lineRule="auto"/>
                    <w:ind w:left="0" w:leftChars="0" w:firstLine="0" w:firstLineChars="0"/>
                    <w:jc w:val="center"/>
                    <w:rPr>
                      <w:rFonts w:hint="eastAsia" w:eastAsia="仿宋"/>
                      <w:szCs w:val="21"/>
                      <w:lang w:eastAsia="zh-CN"/>
                    </w:rPr>
                  </w:pPr>
                  <w:r>
                    <w:rPr>
                      <w:rFonts w:hint="eastAsia"/>
                      <w:szCs w:val="21"/>
                    </w:rPr>
                    <w:t>主管部门发布的数据</w:t>
                  </w:r>
                  <w:r>
                    <w:rPr>
                      <w:rFonts w:hint="eastAsia" w:ascii="仿宋" w:hAnsi="仿宋" w:eastAsia="仿宋"/>
                      <w:szCs w:val="21"/>
                      <w:lang w:eastAsia="zh-CN"/>
                    </w:rPr>
                    <w:sym w:font="Wingdings 2" w:char="0052"/>
                  </w:r>
                </w:p>
              </w:tc>
              <w:tc>
                <w:tcPr>
                  <w:tcW w:w="1418" w:type="dxa"/>
                  <w:gridSpan w:val="3"/>
                  <w:tcBorders>
                    <w:tl2br w:val="nil"/>
                    <w:tr2bl w:val="nil"/>
                  </w:tcBorders>
                  <w:vAlign w:val="center"/>
                </w:tcPr>
                <w:p>
                  <w:pPr>
                    <w:pStyle w:val="38"/>
                    <w:spacing w:line="240" w:lineRule="auto"/>
                    <w:ind w:left="0" w:leftChars="0" w:firstLine="0" w:firstLineChars="0"/>
                    <w:jc w:val="center"/>
                    <w:rPr>
                      <w:rFonts w:hint="eastAsia" w:eastAsia="仿宋"/>
                      <w:szCs w:val="21"/>
                      <w:lang w:eastAsia="zh-CN"/>
                    </w:rPr>
                  </w:pPr>
                  <w:r>
                    <w:rPr>
                      <w:rFonts w:hint="eastAsia"/>
                      <w:szCs w:val="21"/>
                    </w:rPr>
                    <w:t>现状补充监测</w:t>
                  </w:r>
                  <w:r>
                    <w:rPr>
                      <w:rFonts w:hint="eastAsia" w:ascii="仿宋" w:hAnsi="仿宋" w:eastAsia="仿宋"/>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现状评价</w:t>
                  </w:r>
                </w:p>
              </w:tc>
              <w:tc>
                <w:tcPr>
                  <w:tcW w:w="3525" w:type="dxa"/>
                  <w:gridSpan w:val="14"/>
                  <w:tcBorders>
                    <w:tl2br w:val="nil"/>
                    <w:tr2bl w:val="nil"/>
                  </w:tcBorders>
                  <w:vAlign w:val="center"/>
                </w:tcPr>
                <w:p>
                  <w:pPr>
                    <w:pStyle w:val="38"/>
                    <w:spacing w:line="240" w:lineRule="auto"/>
                    <w:ind w:left="0" w:leftChars="0" w:firstLine="0" w:firstLineChars="0"/>
                    <w:jc w:val="center"/>
                    <w:rPr>
                      <w:rFonts w:hint="eastAsia" w:eastAsia="仿宋"/>
                      <w:szCs w:val="21"/>
                      <w:lang w:eastAsia="zh-CN"/>
                    </w:rPr>
                  </w:pPr>
                  <w:r>
                    <w:rPr>
                      <w:rFonts w:hint="eastAsia"/>
                      <w:szCs w:val="21"/>
                    </w:rPr>
                    <w:t>达标区</w:t>
                  </w:r>
                  <w:r>
                    <w:rPr>
                      <w:rFonts w:hint="eastAsia" w:ascii="仿宋" w:hAnsi="仿宋" w:eastAsia="仿宋"/>
                      <w:szCs w:val="21"/>
                      <w:lang w:eastAsia="zh-CN"/>
                    </w:rPr>
                    <w:t>□</w:t>
                  </w:r>
                </w:p>
              </w:tc>
              <w:tc>
                <w:tcPr>
                  <w:tcW w:w="2168" w:type="dxa"/>
                  <w:gridSpan w:val="5"/>
                  <w:tcBorders>
                    <w:tl2br w:val="nil"/>
                    <w:tr2bl w:val="nil"/>
                  </w:tcBorders>
                  <w:vAlign w:val="center"/>
                </w:tcPr>
                <w:p>
                  <w:pPr>
                    <w:pStyle w:val="38"/>
                    <w:spacing w:line="240" w:lineRule="auto"/>
                    <w:ind w:left="0" w:leftChars="0" w:firstLine="0" w:firstLineChars="0"/>
                    <w:jc w:val="center"/>
                    <w:rPr>
                      <w:szCs w:val="21"/>
                    </w:rPr>
                  </w:pPr>
                  <w:r>
                    <w:rPr>
                      <w:rFonts w:hint="eastAsia"/>
                      <w:szCs w:val="21"/>
                    </w:rPr>
                    <w:t>不达标区</w:t>
                  </w:r>
                  <w:r>
                    <w:rPr>
                      <w:rFonts w:hint="eastAsia" w:ascii="仿宋" w:hAnsi="仿宋" w:eastAsia="仿宋"/>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1163" w:hRule="atLeast"/>
                <w:jc w:val="center"/>
              </w:trPr>
              <w:tc>
                <w:tcPr>
                  <w:tcW w:w="814"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污染源</w:t>
                  </w:r>
                  <w:r>
                    <w:rPr>
                      <w:szCs w:val="21"/>
                    </w:rPr>
                    <w:br w:type="textWrapping"/>
                  </w:r>
                  <w:r>
                    <w:rPr>
                      <w:rFonts w:hint="eastAsia"/>
                      <w:szCs w:val="21"/>
                    </w:rPr>
                    <w:t>调查</w:t>
                  </w: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调查内容</w:t>
                  </w:r>
                </w:p>
              </w:tc>
              <w:tc>
                <w:tcPr>
                  <w:tcW w:w="2310" w:type="dxa"/>
                  <w:gridSpan w:val="8"/>
                  <w:tcBorders>
                    <w:tl2br w:val="nil"/>
                    <w:tr2bl w:val="nil"/>
                  </w:tcBorders>
                  <w:vAlign w:val="center"/>
                </w:tcPr>
                <w:p>
                  <w:pPr>
                    <w:pStyle w:val="38"/>
                    <w:spacing w:line="240" w:lineRule="auto"/>
                    <w:ind w:left="0" w:leftChars="0" w:firstLine="0" w:firstLineChars="0"/>
                    <w:jc w:val="center"/>
                    <w:rPr>
                      <w:rFonts w:hint="eastAsia" w:eastAsia="仿宋"/>
                      <w:szCs w:val="21"/>
                      <w:lang w:eastAsia="zh-CN"/>
                    </w:rPr>
                  </w:pPr>
                  <w:r>
                    <w:rPr>
                      <w:rFonts w:hint="eastAsia"/>
                      <w:szCs w:val="21"/>
                    </w:rPr>
                    <w:t>本项目正常排放源</w:t>
                  </w:r>
                  <w:r>
                    <w:rPr>
                      <w:szCs w:val="21"/>
                    </w:rPr>
                    <w:t xml:space="preserve"> </w:t>
                  </w:r>
                  <w:r>
                    <w:rPr>
                      <w:rFonts w:hint="eastAsia" w:ascii="仿宋" w:hAnsi="仿宋" w:eastAsia="仿宋"/>
                      <w:szCs w:val="21"/>
                      <w:lang w:eastAsia="zh-CN"/>
                    </w:rPr>
                    <w:sym w:font="Wingdings 2" w:char="0052"/>
                  </w:r>
                </w:p>
                <w:p>
                  <w:pPr>
                    <w:pStyle w:val="38"/>
                    <w:spacing w:line="240" w:lineRule="auto"/>
                    <w:ind w:left="0" w:leftChars="0" w:firstLine="0" w:firstLineChars="0"/>
                    <w:jc w:val="center"/>
                    <w:rPr>
                      <w:szCs w:val="21"/>
                    </w:rPr>
                  </w:pPr>
                  <w:r>
                    <w:rPr>
                      <w:rFonts w:hint="eastAsia"/>
                      <w:szCs w:val="21"/>
                    </w:rPr>
                    <w:t>本项目非正常排放源</w:t>
                  </w:r>
                  <w:r>
                    <w:rPr>
                      <w:szCs w:val="21"/>
                    </w:rPr>
                    <w:t xml:space="preserve"> </w:t>
                  </w:r>
                  <w:r>
                    <w:rPr>
                      <w:rFonts w:hint="eastAsia" w:ascii="仿宋" w:hAnsi="仿宋" w:eastAsia="仿宋"/>
                      <w:szCs w:val="21"/>
                    </w:rPr>
                    <w:t>□</w:t>
                  </w:r>
                </w:p>
                <w:p>
                  <w:pPr>
                    <w:pStyle w:val="38"/>
                    <w:spacing w:line="240" w:lineRule="auto"/>
                    <w:ind w:left="0" w:leftChars="0" w:firstLine="0" w:firstLineChars="0"/>
                    <w:jc w:val="center"/>
                    <w:rPr>
                      <w:szCs w:val="21"/>
                    </w:rPr>
                  </w:pPr>
                  <w:r>
                    <w:rPr>
                      <w:rFonts w:hint="eastAsia"/>
                      <w:szCs w:val="21"/>
                    </w:rPr>
                    <w:t>现有污染源</w:t>
                  </w:r>
                  <w:r>
                    <w:rPr>
                      <w:szCs w:val="21"/>
                    </w:rPr>
                    <w:t xml:space="preserve"> </w:t>
                  </w:r>
                  <w:r>
                    <w:rPr>
                      <w:rFonts w:hint="eastAsia" w:ascii="仿宋" w:hAnsi="仿宋" w:eastAsia="仿宋"/>
                      <w:szCs w:val="21"/>
                    </w:rPr>
                    <w:t>□</w:t>
                  </w:r>
                </w:p>
              </w:tc>
              <w:tc>
                <w:tcPr>
                  <w:tcW w:w="1215" w:type="dxa"/>
                  <w:gridSpan w:val="6"/>
                  <w:tcBorders>
                    <w:tl2br w:val="nil"/>
                    <w:tr2bl w:val="nil"/>
                  </w:tcBorders>
                  <w:vAlign w:val="center"/>
                </w:tcPr>
                <w:p>
                  <w:pPr>
                    <w:pStyle w:val="38"/>
                    <w:spacing w:line="240" w:lineRule="auto"/>
                    <w:ind w:left="0" w:leftChars="0" w:firstLine="0" w:firstLineChars="0"/>
                    <w:jc w:val="center"/>
                    <w:rPr>
                      <w:szCs w:val="21"/>
                    </w:rPr>
                  </w:pPr>
                  <w:r>
                    <w:rPr>
                      <w:rFonts w:hint="eastAsia"/>
                      <w:szCs w:val="21"/>
                    </w:rPr>
                    <w:t>拟替代的污染源</w:t>
                  </w:r>
                  <w:r>
                    <w:rPr>
                      <w:rFonts w:hint="eastAsia" w:ascii="仿宋" w:hAnsi="仿宋" w:eastAsia="仿宋"/>
                      <w:szCs w:val="21"/>
                    </w:rPr>
                    <w:t>□</w:t>
                  </w:r>
                </w:p>
              </w:tc>
              <w:tc>
                <w:tcPr>
                  <w:tcW w:w="1061" w:type="dxa"/>
                  <w:gridSpan w:val="3"/>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其他在建、拟建项目污染源</w:t>
                  </w:r>
                  <w:r>
                    <w:rPr>
                      <w:rFonts w:hint="eastAsia" w:ascii="仿宋" w:hAnsi="仿宋" w:eastAsia="仿宋"/>
                      <w:szCs w:val="21"/>
                    </w:rPr>
                    <w:t>□</w:t>
                  </w:r>
                </w:p>
              </w:tc>
              <w:tc>
                <w:tcPr>
                  <w:tcW w:w="1107" w:type="dxa"/>
                  <w:gridSpan w:val="2"/>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区域污染源</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858" w:hRule="atLeast"/>
                <w:jc w:val="center"/>
              </w:trPr>
              <w:tc>
                <w:tcPr>
                  <w:tcW w:w="814" w:type="dxa"/>
                  <w:vMerge w:val="restart"/>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大气环境影响预测与</w:t>
                  </w:r>
                  <w:r>
                    <w:rPr>
                      <w:szCs w:val="21"/>
                    </w:rPr>
                    <w:br w:type="textWrapping"/>
                  </w:r>
                  <w:r>
                    <w:rPr>
                      <w:rFonts w:hint="eastAsia"/>
                      <w:szCs w:val="21"/>
                    </w:rPr>
                    <w:t>评价</w:t>
                  </w: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预测模型</w:t>
                  </w:r>
                </w:p>
              </w:tc>
              <w:tc>
                <w:tcPr>
                  <w:tcW w:w="824" w:type="dxa"/>
                  <w:tcBorders>
                    <w:tl2br w:val="nil"/>
                    <w:tr2bl w:val="nil"/>
                  </w:tcBorders>
                  <w:vAlign w:val="center"/>
                </w:tcPr>
                <w:p>
                  <w:pPr>
                    <w:pStyle w:val="38"/>
                    <w:spacing w:line="240" w:lineRule="auto"/>
                    <w:ind w:left="0" w:leftChars="0" w:firstLine="0" w:firstLineChars="0"/>
                    <w:jc w:val="center"/>
                    <w:rPr>
                      <w:rFonts w:eastAsia="仿宋"/>
                      <w:szCs w:val="21"/>
                    </w:rPr>
                  </w:pPr>
                  <w:r>
                    <w:rPr>
                      <w:szCs w:val="21"/>
                    </w:rPr>
                    <w:t>AERMOD</w:t>
                  </w:r>
                  <w:r>
                    <w:rPr>
                      <w:szCs w:val="21"/>
                    </w:rPr>
                    <w:br w:type="textWrapping"/>
                  </w:r>
                  <w:r>
                    <w:rPr>
                      <w:rFonts w:hint="eastAsia" w:ascii="仿宋" w:hAnsi="仿宋" w:eastAsia="仿宋"/>
                      <w:szCs w:val="21"/>
                    </w:rPr>
                    <w:t>□</w:t>
                  </w:r>
                </w:p>
              </w:tc>
              <w:tc>
                <w:tcPr>
                  <w:tcW w:w="595" w:type="dxa"/>
                  <w:gridSpan w:val="3"/>
                  <w:tcBorders>
                    <w:tl2br w:val="nil"/>
                    <w:tr2bl w:val="nil"/>
                  </w:tcBorders>
                  <w:vAlign w:val="center"/>
                </w:tcPr>
                <w:p>
                  <w:pPr>
                    <w:pStyle w:val="38"/>
                    <w:spacing w:line="240" w:lineRule="auto"/>
                    <w:ind w:left="0" w:leftChars="0" w:firstLine="0" w:firstLineChars="0"/>
                    <w:jc w:val="center"/>
                    <w:rPr>
                      <w:szCs w:val="21"/>
                    </w:rPr>
                  </w:pPr>
                  <w:r>
                    <w:rPr>
                      <w:szCs w:val="21"/>
                    </w:rPr>
                    <w:t>ADMS</w:t>
                  </w:r>
                  <w:r>
                    <w:rPr>
                      <w:szCs w:val="21"/>
                    </w:rPr>
                    <w:br w:type="textWrapping"/>
                  </w:r>
                  <w:r>
                    <w:rPr>
                      <w:rFonts w:hint="eastAsia" w:ascii="仿宋" w:hAnsi="仿宋" w:eastAsia="仿宋"/>
                      <w:szCs w:val="21"/>
                    </w:rPr>
                    <w:t>□</w:t>
                  </w:r>
                </w:p>
              </w:tc>
              <w:tc>
                <w:tcPr>
                  <w:tcW w:w="1088" w:type="dxa"/>
                  <w:gridSpan w:val="5"/>
                  <w:tcBorders>
                    <w:tl2br w:val="nil"/>
                    <w:tr2bl w:val="nil"/>
                  </w:tcBorders>
                  <w:vAlign w:val="center"/>
                </w:tcPr>
                <w:p>
                  <w:pPr>
                    <w:pStyle w:val="38"/>
                    <w:spacing w:line="240" w:lineRule="auto"/>
                    <w:ind w:left="0" w:leftChars="0" w:firstLine="0" w:firstLineChars="0"/>
                    <w:jc w:val="center"/>
                    <w:rPr>
                      <w:szCs w:val="21"/>
                    </w:rPr>
                  </w:pPr>
                  <w:r>
                    <w:rPr>
                      <w:szCs w:val="21"/>
                    </w:rPr>
                    <w:t>AUSTAL2000</w:t>
                  </w:r>
                  <w:r>
                    <w:rPr>
                      <w:szCs w:val="21"/>
                    </w:rPr>
                    <w:br w:type="textWrapping"/>
                  </w:r>
                  <w:r>
                    <w:rPr>
                      <w:rFonts w:hint="eastAsia" w:ascii="仿宋" w:hAnsi="仿宋" w:eastAsia="仿宋"/>
                      <w:szCs w:val="21"/>
                    </w:rPr>
                    <w:t>□</w:t>
                  </w:r>
                </w:p>
              </w:tc>
              <w:tc>
                <w:tcPr>
                  <w:tcW w:w="1018" w:type="dxa"/>
                  <w:gridSpan w:val="5"/>
                  <w:tcBorders>
                    <w:tl2br w:val="nil"/>
                    <w:tr2bl w:val="nil"/>
                  </w:tcBorders>
                  <w:vAlign w:val="center"/>
                </w:tcPr>
                <w:p>
                  <w:pPr>
                    <w:pStyle w:val="38"/>
                    <w:spacing w:line="240" w:lineRule="auto"/>
                    <w:ind w:left="0" w:leftChars="0" w:firstLine="0" w:firstLineChars="0"/>
                    <w:jc w:val="center"/>
                    <w:rPr>
                      <w:szCs w:val="21"/>
                    </w:rPr>
                  </w:pPr>
                  <w:r>
                    <w:rPr>
                      <w:szCs w:val="21"/>
                    </w:rPr>
                    <w:t>EDMS/AEDT</w:t>
                  </w:r>
                  <w:r>
                    <w:rPr>
                      <w:szCs w:val="21"/>
                    </w:rPr>
                    <w:br w:type="textWrapping"/>
                  </w:r>
                  <w:r>
                    <w:rPr>
                      <w:rFonts w:hint="eastAsia" w:ascii="仿宋" w:hAnsi="仿宋" w:eastAsia="仿宋"/>
                      <w:szCs w:val="21"/>
                    </w:rPr>
                    <w:t>□</w:t>
                  </w:r>
                </w:p>
              </w:tc>
              <w:tc>
                <w:tcPr>
                  <w:tcW w:w="750" w:type="dxa"/>
                  <w:gridSpan w:val="2"/>
                  <w:tcBorders>
                    <w:tl2br w:val="nil"/>
                    <w:tr2bl w:val="nil"/>
                  </w:tcBorders>
                  <w:vAlign w:val="center"/>
                </w:tcPr>
                <w:p>
                  <w:pPr>
                    <w:pStyle w:val="38"/>
                    <w:spacing w:line="240" w:lineRule="auto"/>
                    <w:ind w:left="0" w:leftChars="0" w:firstLine="0" w:firstLineChars="0"/>
                    <w:jc w:val="center"/>
                    <w:rPr>
                      <w:szCs w:val="21"/>
                    </w:rPr>
                  </w:pPr>
                  <w:r>
                    <w:rPr>
                      <w:szCs w:val="21"/>
                    </w:rPr>
                    <w:t>CALPUFF</w:t>
                  </w:r>
                  <w:r>
                    <w:rPr>
                      <w:szCs w:val="21"/>
                    </w:rPr>
                    <w:br w:type="textWrapping"/>
                  </w:r>
                  <w:r>
                    <w:rPr>
                      <w:rFonts w:hint="eastAsia" w:ascii="仿宋" w:hAnsi="仿宋" w:eastAsia="仿宋"/>
                      <w:szCs w:val="21"/>
                    </w:rPr>
                    <w:t>□</w:t>
                  </w:r>
                </w:p>
              </w:tc>
              <w:tc>
                <w:tcPr>
                  <w:tcW w:w="976" w:type="dxa"/>
                  <w:gridSpan w:val="2"/>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网格模型</w:t>
                  </w:r>
                  <w:r>
                    <w:rPr>
                      <w:szCs w:val="21"/>
                    </w:rPr>
                    <w:br w:type="textWrapping"/>
                  </w:r>
                  <w:r>
                    <w:rPr>
                      <w:rFonts w:hint="eastAsia" w:ascii="仿宋" w:hAnsi="仿宋" w:eastAsia="仿宋"/>
                      <w:szCs w:val="21"/>
                    </w:rPr>
                    <w:t>□</w:t>
                  </w:r>
                </w:p>
              </w:tc>
              <w:tc>
                <w:tcPr>
                  <w:tcW w:w="442"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其他</w:t>
                  </w:r>
                  <w:r>
                    <w:rPr>
                      <w:szCs w:val="21"/>
                    </w:rPr>
                    <w:br w:type="textWrapping"/>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303"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预测范围</w:t>
                  </w:r>
                </w:p>
              </w:tc>
              <w:tc>
                <w:tcPr>
                  <w:tcW w:w="1419" w:type="dxa"/>
                  <w:gridSpan w:val="4"/>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边长</w:t>
                  </w:r>
                  <w:r>
                    <w:rPr>
                      <w:rFonts w:hint="eastAsia" w:ascii="仿宋" w:hAnsi="仿宋" w:eastAsia="仿宋"/>
                      <w:szCs w:val="21"/>
                    </w:rPr>
                    <w:t>≥</w:t>
                  </w:r>
                  <w:r>
                    <w:rPr>
                      <w:szCs w:val="21"/>
                    </w:rPr>
                    <w:t xml:space="preserve"> 50km</w:t>
                  </w:r>
                  <w:r>
                    <w:rPr>
                      <w:rFonts w:hint="eastAsia" w:ascii="仿宋" w:hAnsi="仿宋" w:eastAsia="仿宋"/>
                      <w:szCs w:val="21"/>
                    </w:rPr>
                    <w:t>□</w:t>
                  </w:r>
                </w:p>
              </w:tc>
              <w:tc>
                <w:tcPr>
                  <w:tcW w:w="2856" w:type="dxa"/>
                  <w:gridSpan w:val="12"/>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边长</w:t>
                  </w:r>
                  <w:r>
                    <w:rPr>
                      <w:szCs w:val="21"/>
                    </w:rPr>
                    <w:t>5</w:t>
                  </w:r>
                  <w:r>
                    <w:rPr>
                      <w:rFonts w:hint="eastAsia"/>
                      <w:szCs w:val="21"/>
                    </w:rPr>
                    <w:t>～</w:t>
                  </w:r>
                  <w:r>
                    <w:rPr>
                      <w:szCs w:val="21"/>
                    </w:rPr>
                    <w:t xml:space="preserve">50km </w:t>
                  </w:r>
                  <w:r>
                    <w:rPr>
                      <w:rFonts w:hint="eastAsia" w:ascii="仿宋" w:hAnsi="仿宋" w:eastAsia="仿宋"/>
                      <w:szCs w:val="21"/>
                    </w:rPr>
                    <w:t>□</w:t>
                  </w:r>
                </w:p>
              </w:tc>
              <w:tc>
                <w:tcPr>
                  <w:tcW w:w="1418" w:type="dxa"/>
                  <w:gridSpan w:val="3"/>
                  <w:tcBorders>
                    <w:tl2br w:val="nil"/>
                    <w:tr2bl w:val="nil"/>
                  </w:tcBorders>
                  <w:vAlign w:val="center"/>
                </w:tcPr>
                <w:p>
                  <w:pPr>
                    <w:pStyle w:val="38"/>
                    <w:spacing w:line="240" w:lineRule="auto"/>
                    <w:ind w:left="0" w:leftChars="0" w:firstLine="0" w:firstLineChars="0"/>
                    <w:jc w:val="center"/>
                    <w:rPr>
                      <w:rFonts w:eastAsia="仿宋"/>
                      <w:szCs w:val="21"/>
                    </w:rPr>
                  </w:pPr>
                  <w:r>
                    <w:rPr>
                      <w:rFonts w:hint="eastAsia"/>
                      <w:szCs w:val="21"/>
                    </w:rPr>
                    <w:t>边长</w:t>
                  </w:r>
                  <w:r>
                    <w:rPr>
                      <w:szCs w:val="21"/>
                    </w:rPr>
                    <w:t xml:space="preserve"> = 5 km </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446"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预测因子</w:t>
                  </w:r>
                </w:p>
              </w:tc>
              <w:tc>
                <w:tcPr>
                  <w:tcW w:w="3299" w:type="dxa"/>
                  <w:gridSpan w:val="13"/>
                  <w:tcBorders>
                    <w:tl2br w:val="nil"/>
                    <w:tr2bl w:val="nil"/>
                  </w:tcBorders>
                  <w:vAlign w:val="center"/>
                </w:tcPr>
                <w:p>
                  <w:pPr>
                    <w:pStyle w:val="38"/>
                    <w:spacing w:line="240" w:lineRule="auto"/>
                    <w:ind w:left="0" w:leftChars="0" w:firstLine="0" w:firstLineChars="0"/>
                    <w:jc w:val="center"/>
                    <w:rPr>
                      <w:szCs w:val="21"/>
                    </w:rPr>
                  </w:pPr>
                  <w:r>
                    <w:rPr>
                      <w:rFonts w:hint="eastAsia"/>
                      <w:szCs w:val="21"/>
                    </w:rPr>
                    <w:t>预测因子(</w:t>
                  </w:r>
                  <w:r>
                    <w:rPr>
                      <w:rFonts w:hint="eastAsia"/>
                      <w:szCs w:val="21"/>
                      <w:lang w:val="en-US"/>
                    </w:rPr>
                    <w:t xml:space="preserve"> </w:t>
                  </w:r>
                  <w:r>
                    <w:rPr>
                      <w:szCs w:val="21"/>
                    </w:rPr>
                    <w:t>)</w:t>
                  </w:r>
                </w:p>
              </w:tc>
              <w:tc>
                <w:tcPr>
                  <w:tcW w:w="2394" w:type="dxa"/>
                  <w:gridSpan w:val="6"/>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包括二次</w:t>
                  </w:r>
                  <w:r>
                    <w:rPr>
                      <w:szCs w:val="21"/>
                    </w:rPr>
                    <w:t>PM</w:t>
                  </w:r>
                  <w:r>
                    <w:rPr>
                      <w:szCs w:val="21"/>
                      <w:vertAlign w:val="subscript"/>
                    </w:rPr>
                    <w:t>2.5</w:t>
                  </w:r>
                  <w:r>
                    <w:rPr>
                      <w:szCs w:val="21"/>
                    </w:rPr>
                    <w:t xml:space="preserve"> </w:t>
                  </w:r>
                  <w:r>
                    <w:rPr>
                      <w:rFonts w:hint="eastAsia" w:ascii="仿宋" w:hAnsi="仿宋" w:eastAsia="仿宋"/>
                      <w:szCs w:val="21"/>
                    </w:rPr>
                    <w:t>□</w:t>
                  </w:r>
                </w:p>
                <w:p>
                  <w:pPr>
                    <w:pStyle w:val="38"/>
                    <w:spacing w:line="240" w:lineRule="auto"/>
                    <w:ind w:left="0" w:leftChars="0" w:firstLine="0" w:firstLineChars="0"/>
                    <w:jc w:val="center"/>
                    <w:rPr>
                      <w:rFonts w:eastAsia="仿宋"/>
                      <w:szCs w:val="21"/>
                    </w:rPr>
                  </w:pPr>
                  <w:r>
                    <w:rPr>
                      <w:rFonts w:hint="eastAsia"/>
                      <w:szCs w:val="21"/>
                    </w:rPr>
                    <w:t>不包括二次</w:t>
                  </w:r>
                  <w:r>
                    <w:rPr>
                      <w:szCs w:val="21"/>
                    </w:rPr>
                    <w:t>PM</w:t>
                  </w:r>
                  <w:r>
                    <w:rPr>
                      <w:szCs w:val="21"/>
                      <w:vertAlign w:val="subscript"/>
                    </w:rPr>
                    <w:t>2.5</w:t>
                  </w:r>
                  <w:r>
                    <w:rPr>
                      <w:szCs w:val="21"/>
                    </w:rPr>
                    <w:t xml:space="preserve"> </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正常排放短期浓度贡献值</w:t>
                  </w:r>
                </w:p>
              </w:tc>
              <w:tc>
                <w:tcPr>
                  <w:tcW w:w="3299" w:type="dxa"/>
                  <w:gridSpan w:val="13"/>
                  <w:tcBorders>
                    <w:tl2br w:val="nil"/>
                    <w:tr2bl w:val="nil"/>
                  </w:tcBorders>
                  <w:vAlign w:val="center"/>
                </w:tcPr>
                <w:p>
                  <w:pPr>
                    <w:pStyle w:val="38"/>
                    <w:spacing w:line="240" w:lineRule="auto"/>
                    <w:ind w:left="0" w:leftChars="0" w:firstLine="0" w:firstLineChars="0"/>
                    <w:jc w:val="center"/>
                    <w:rPr>
                      <w:rFonts w:eastAsia="仿宋"/>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本项目</m:t>
                        </m:r>
                        <m:ctrlPr>
                          <w:rPr>
                            <w:rFonts w:ascii="Cambria Math" w:hAnsi="Cambria Math"/>
                            <w:i/>
                            <w:color w:val="000000"/>
                            <w:szCs w:val="21"/>
                          </w:rPr>
                        </m:ctrlPr>
                      </m:sub>
                    </m:sSub>
                  </m:oMath>
                  <w:r>
                    <w:rPr>
                      <w:rFonts w:hint="eastAsia"/>
                      <w:szCs w:val="21"/>
                    </w:rPr>
                    <w:t>最大占标率</w:t>
                  </w:r>
                  <w:r>
                    <w:rPr>
                      <w:rFonts w:hint="eastAsia" w:ascii="仿宋" w:hAnsi="仿宋" w:eastAsia="仿宋"/>
                      <w:szCs w:val="21"/>
                    </w:rPr>
                    <w:t>≤</w:t>
                  </w:r>
                  <w:r>
                    <w:rPr>
                      <w:szCs w:val="21"/>
                    </w:rPr>
                    <w:t>100%</w:t>
                  </w:r>
                  <w:r>
                    <w:rPr>
                      <w:rFonts w:hint="eastAsia" w:ascii="仿宋" w:hAnsi="仿宋" w:eastAsia="仿宋"/>
                      <w:szCs w:val="21"/>
                    </w:rPr>
                    <w:t>□</w:t>
                  </w:r>
                </w:p>
              </w:tc>
              <w:tc>
                <w:tcPr>
                  <w:tcW w:w="2394" w:type="dxa"/>
                  <w:gridSpan w:val="6"/>
                  <w:tcBorders>
                    <w:tl2br w:val="nil"/>
                    <w:tr2bl w:val="nil"/>
                  </w:tcBorders>
                  <w:vAlign w:val="center"/>
                </w:tcPr>
                <w:p>
                  <w:pPr>
                    <w:pStyle w:val="38"/>
                    <w:spacing w:line="240" w:lineRule="auto"/>
                    <w:ind w:left="0" w:leftChars="0" w:firstLine="0" w:firstLineChars="0"/>
                    <w:jc w:val="center"/>
                    <w:rPr>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本项目</m:t>
                        </m:r>
                        <m:ctrlPr>
                          <w:rPr>
                            <w:rFonts w:ascii="Cambria Math" w:hAnsi="Cambria Math"/>
                            <w:i/>
                            <w:color w:val="000000"/>
                            <w:szCs w:val="21"/>
                          </w:rPr>
                        </m:ctrlPr>
                      </m:sub>
                    </m:sSub>
                  </m:oMath>
                  <w:r>
                    <w:rPr>
                      <w:rFonts w:hint="eastAsia"/>
                      <w:szCs w:val="21"/>
                    </w:rPr>
                    <w:t>最大占标率</w:t>
                  </w:r>
                  <w:r>
                    <w:rPr>
                      <w:rFonts w:hint="eastAsia" w:ascii="仿宋" w:hAnsi="仿宋" w:eastAsia="仿宋"/>
                      <w:szCs w:val="21"/>
                    </w:rPr>
                    <w:t>＞</w:t>
                  </w:r>
                  <w:r>
                    <w:rPr>
                      <w:szCs w:val="21"/>
                    </w:rPr>
                    <w:t xml:space="preserve">100% </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544"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vMerge w:val="restart"/>
                  <w:tcBorders>
                    <w:tl2br w:val="nil"/>
                    <w:tr2bl w:val="nil"/>
                  </w:tcBorders>
                  <w:vAlign w:val="center"/>
                </w:tcPr>
                <w:p>
                  <w:pPr>
                    <w:pStyle w:val="38"/>
                    <w:spacing w:line="240" w:lineRule="auto"/>
                    <w:ind w:left="0" w:leftChars="0" w:firstLine="0" w:firstLineChars="0"/>
                    <w:jc w:val="center"/>
                    <w:rPr>
                      <w:szCs w:val="21"/>
                    </w:rPr>
                  </w:pPr>
                  <w:r>
                    <w:rPr>
                      <w:rFonts w:hint="eastAsia"/>
                      <w:szCs w:val="21"/>
                    </w:rPr>
                    <w:t>正常排放年均浓贡献值</w:t>
                  </w:r>
                </w:p>
              </w:tc>
              <w:tc>
                <w:tcPr>
                  <w:tcW w:w="824"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一类区</w:t>
                  </w:r>
                </w:p>
              </w:tc>
              <w:tc>
                <w:tcPr>
                  <w:tcW w:w="2475" w:type="dxa"/>
                  <w:gridSpan w:val="12"/>
                  <w:tcBorders>
                    <w:tl2br w:val="nil"/>
                    <w:tr2bl w:val="nil"/>
                  </w:tcBorders>
                  <w:vAlign w:val="center"/>
                </w:tcPr>
                <w:p>
                  <w:pPr>
                    <w:pStyle w:val="38"/>
                    <w:spacing w:before="31" w:after="31" w:line="240" w:lineRule="auto"/>
                    <w:ind w:left="0" w:leftChars="0" w:firstLine="0" w:firstLineChars="0"/>
                    <w:jc w:val="center"/>
                    <w:rPr>
                      <w:rFonts w:ascii="Calibri" w:hAnsi="Calibri"/>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本项目</m:t>
                        </m:r>
                        <m:ctrlPr>
                          <w:rPr>
                            <w:rFonts w:ascii="Cambria Math" w:hAnsi="Cambria Math"/>
                            <w:i/>
                            <w:color w:val="000000"/>
                            <w:szCs w:val="21"/>
                          </w:rPr>
                        </m:ctrlPr>
                      </m:sub>
                    </m:sSub>
                  </m:oMath>
                  <w:r>
                    <w:rPr>
                      <w:rFonts w:hint="eastAsia"/>
                      <w:szCs w:val="21"/>
                    </w:rPr>
                    <w:t>最大占标率</w:t>
                  </w:r>
                  <w:bookmarkStart w:id="5" w:name="OLE_LINK5"/>
                  <w:bookmarkStart w:id="6" w:name="OLE_LINK7"/>
                  <w:r>
                    <w:rPr>
                      <w:rFonts w:hint="eastAsia" w:ascii="仿宋" w:hAnsi="仿宋" w:eastAsia="仿宋"/>
                      <w:szCs w:val="21"/>
                    </w:rPr>
                    <w:t>≤</w:t>
                  </w:r>
                  <w:bookmarkEnd w:id="5"/>
                  <w:bookmarkEnd w:id="6"/>
                  <w:r>
                    <w:rPr>
                      <w:szCs w:val="21"/>
                    </w:rPr>
                    <w:t>10%</w:t>
                  </w:r>
                  <w:r>
                    <w:rPr>
                      <w:rFonts w:hint="eastAsia" w:ascii="仿宋" w:hAnsi="仿宋" w:eastAsia="仿宋"/>
                      <w:szCs w:val="21"/>
                    </w:rPr>
                    <w:t>□</w:t>
                  </w:r>
                </w:p>
              </w:tc>
              <w:tc>
                <w:tcPr>
                  <w:tcW w:w="2394" w:type="dxa"/>
                  <w:gridSpan w:val="6"/>
                  <w:tcBorders>
                    <w:tl2br w:val="nil"/>
                    <w:tr2bl w:val="nil"/>
                  </w:tcBorders>
                  <w:vAlign w:val="center"/>
                </w:tcPr>
                <w:p>
                  <w:pPr>
                    <w:pStyle w:val="38"/>
                    <w:spacing w:line="240" w:lineRule="auto"/>
                    <w:ind w:left="0" w:leftChars="0" w:firstLine="0" w:firstLineChars="0"/>
                    <w:jc w:val="center"/>
                    <w:rPr>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本项目</m:t>
                        </m:r>
                        <m:ctrlPr>
                          <w:rPr>
                            <w:rFonts w:ascii="Cambria Math" w:hAnsi="Cambria Math"/>
                            <w:i/>
                            <w:color w:val="000000"/>
                            <w:szCs w:val="21"/>
                          </w:rPr>
                        </m:ctrlPr>
                      </m:sub>
                    </m:sSub>
                  </m:oMath>
                  <w:r>
                    <w:rPr>
                      <w:rFonts w:hint="eastAsia"/>
                      <w:szCs w:val="21"/>
                    </w:rPr>
                    <w:t>最大标率</w:t>
                  </w:r>
                  <w:r>
                    <w:rPr>
                      <w:rFonts w:hint="eastAsia" w:ascii="仿宋" w:hAnsi="仿宋" w:eastAsia="仿宋"/>
                      <w:szCs w:val="21"/>
                    </w:rPr>
                    <w:t>＞</w:t>
                  </w:r>
                  <w:r>
                    <w:rPr>
                      <w:szCs w:val="21"/>
                    </w:rPr>
                    <w:t xml:space="preserve">10% </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457"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rFonts w:ascii="Calibri" w:hAnsi="Calibri"/>
                      <w:szCs w:val="21"/>
                    </w:rPr>
                  </w:pPr>
                </w:p>
              </w:tc>
              <w:tc>
                <w:tcPr>
                  <w:tcW w:w="1789" w:type="dxa"/>
                  <w:vMerge w:val="continue"/>
                  <w:tcBorders>
                    <w:tl2br w:val="nil"/>
                    <w:tr2bl w:val="nil"/>
                  </w:tcBorders>
                  <w:vAlign w:val="center"/>
                </w:tcPr>
                <w:p>
                  <w:pPr>
                    <w:pStyle w:val="38"/>
                    <w:spacing w:line="240" w:lineRule="auto"/>
                    <w:ind w:left="0" w:leftChars="0" w:firstLine="0" w:firstLineChars="0"/>
                    <w:jc w:val="center"/>
                    <w:rPr>
                      <w:rFonts w:ascii="Calibri" w:hAnsi="Calibri"/>
                      <w:szCs w:val="21"/>
                    </w:rPr>
                  </w:pPr>
                </w:p>
              </w:tc>
              <w:tc>
                <w:tcPr>
                  <w:tcW w:w="824" w:type="dxa"/>
                  <w:tcBorders>
                    <w:tl2br w:val="nil"/>
                    <w:tr2bl w:val="nil"/>
                  </w:tcBorders>
                  <w:vAlign w:val="center"/>
                </w:tcPr>
                <w:p>
                  <w:pPr>
                    <w:pStyle w:val="38"/>
                    <w:spacing w:line="240" w:lineRule="auto"/>
                    <w:ind w:left="0" w:leftChars="0" w:firstLine="0" w:firstLineChars="0"/>
                    <w:jc w:val="center"/>
                    <w:rPr>
                      <w:rFonts w:ascii="Calibri" w:hAnsi="Calibri"/>
                      <w:szCs w:val="21"/>
                    </w:rPr>
                  </w:pPr>
                  <w:r>
                    <w:rPr>
                      <w:rFonts w:hint="eastAsia" w:ascii="Calibri" w:hAnsi="Calibri"/>
                      <w:szCs w:val="21"/>
                    </w:rPr>
                    <w:t>二类区</w:t>
                  </w:r>
                </w:p>
              </w:tc>
              <w:tc>
                <w:tcPr>
                  <w:tcW w:w="2475" w:type="dxa"/>
                  <w:gridSpan w:val="12"/>
                  <w:tcBorders>
                    <w:tl2br w:val="nil"/>
                    <w:tr2bl w:val="nil"/>
                  </w:tcBorders>
                  <w:vAlign w:val="center"/>
                </w:tcPr>
                <w:p>
                  <w:pPr>
                    <w:pStyle w:val="38"/>
                    <w:spacing w:line="240" w:lineRule="auto"/>
                    <w:ind w:left="0" w:leftChars="0" w:firstLine="0" w:firstLineChars="0"/>
                    <w:jc w:val="center"/>
                    <w:rPr>
                      <w:rFonts w:ascii="Calibri" w:hAnsi="Calibri" w:eastAsia="仿宋"/>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本项目</m:t>
                        </m:r>
                        <m:ctrlPr>
                          <w:rPr>
                            <w:rFonts w:ascii="Cambria Math" w:hAnsi="Cambria Math"/>
                            <w:i/>
                            <w:color w:val="000000"/>
                            <w:szCs w:val="21"/>
                          </w:rPr>
                        </m:ctrlPr>
                      </m:sub>
                    </m:sSub>
                  </m:oMath>
                  <w:r>
                    <w:rPr>
                      <w:rFonts w:hint="eastAsia"/>
                      <w:szCs w:val="21"/>
                    </w:rPr>
                    <w:t>最大占标率</w:t>
                  </w:r>
                  <w:r>
                    <w:rPr>
                      <w:rFonts w:hint="eastAsia" w:ascii="仿宋" w:hAnsi="仿宋" w:eastAsia="仿宋"/>
                      <w:szCs w:val="21"/>
                    </w:rPr>
                    <w:t>≤</w:t>
                  </w:r>
                  <w:r>
                    <w:rPr>
                      <w:szCs w:val="21"/>
                    </w:rPr>
                    <w:t>30%</w:t>
                  </w:r>
                  <w:r>
                    <w:rPr>
                      <w:rFonts w:hint="eastAsia" w:ascii="仿宋" w:hAnsi="仿宋" w:eastAsia="仿宋"/>
                      <w:szCs w:val="21"/>
                    </w:rPr>
                    <w:t>□</w:t>
                  </w:r>
                </w:p>
              </w:tc>
              <w:tc>
                <w:tcPr>
                  <w:tcW w:w="2394" w:type="dxa"/>
                  <w:gridSpan w:val="6"/>
                  <w:tcBorders>
                    <w:tl2br w:val="nil"/>
                    <w:tr2bl w:val="nil"/>
                  </w:tcBorders>
                  <w:vAlign w:val="center"/>
                </w:tcPr>
                <w:p>
                  <w:pPr>
                    <w:pStyle w:val="38"/>
                    <w:spacing w:line="240" w:lineRule="auto"/>
                    <w:ind w:left="0" w:leftChars="0" w:firstLine="0" w:firstLineChars="0"/>
                    <w:jc w:val="center"/>
                    <w:rPr>
                      <w:rFonts w:ascii="Calibri" w:hAnsi="Calibri"/>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本项目</m:t>
                        </m:r>
                        <m:ctrlPr>
                          <w:rPr>
                            <w:rFonts w:ascii="Cambria Math" w:hAnsi="Cambria Math"/>
                            <w:i/>
                            <w:color w:val="000000"/>
                            <w:szCs w:val="21"/>
                          </w:rPr>
                        </m:ctrlPr>
                      </m:sub>
                    </m:sSub>
                  </m:oMath>
                  <w:r>
                    <w:rPr>
                      <w:rFonts w:hint="eastAsia"/>
                      <w:szCs w:val="21"/>
                    </w:rPr>
                    <w:t>最大标率</w:t>
                  </w:r>
                  <w:r>
                    <w:rPr>
                      <w:rFonts w:hint="eastAsia" w:ascii="仿宋" w:hAnsi="仿宋" w:eastAsia="仿宋"/>
                      <w:szCs w:val="21"/>
                    </w:rPr>
                    <w:t>＞</w:t>
                  </w:r>
                  <w:r>
                    <w:rPr>
                      <w:szCs w:val="21"/>
                    </w:rPr>
                    <w:t xml:space="preserve">30% </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694"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非正常排放</w:t>
                  </w:r>
                  <w:r>
                    <w:rPr>
                      <w:szCs w:val="21"/>
                    </w:rPr>
                    <w:t>1h</w:t>
                  </w:r>
                  <w:r>
                    <w:rPr>
                      <w:rFonts w:hint="eastAsia"/>
                      <w:szCs w:val="21"/>
                    </w:rPr>
                    <w:t>浓度贡献值</w:t>
                  </w:r>
                </w:p>
              </w:tc>
              <w:tc>
                <w:tcPr>
                  <w:tcW w:w="1336" w:type="dxa"/>
                  <w:gridSpan w:val="3"/>
                  <w:tcBorders>
                    <w:tl2br w:val="nil"/>
                    <w:tr2bl w:val="nil"/>
                  </w:tcBorders>
                  <w:vAlign w:val="center"/>
                </w:tcPr>
                <w:p>
                  <w:pPr>
                    <w:pStyle w:val="38"/>
                    <w:spacing w:line="240" w:lineRule="auto"/>
                    <w:ind w:left="0" w:leftChars="0" w:firstLine="0" w:firstLineChars="0"/>
                    <w:jc w:val="center"/>
                    <w:rPr>
                      <w:szCs w:val="21"/>
                    </w:rPr>
                  </w:pPr>
                  <w:r>
                    <w:rPr>
                      <w:rFonts w:hint="eastAsia"/>
                      <w:szCs w:val="21"/>
                    </w:rPr>
                    <w:t>非正常持续时长（</w:t>
                  </w:r>
                  <w:r>
                    <w:rPr>
                      <w:szCs w:val="21"/>
                    </w:rPr>
                    <w:t xml:space="preserve">  </w:t>
                  </w:r>
                  <w:r>
                    <w:rPr>
                      <w:rFonts w:hint="eastAsia"/>
                      <w:szCs w:val="21"/>
                    </w:rPr>
                    <w:t>）</w:t>
                  </w:r>
                  <w:r>
                    <w:rPr>
                      <w:szCs w:val="21"/>
                    </w:rPr>
                    <w:t>h</w:t>
                  </w:r>
                </w:p>
              </w:tc>
              <w:tc>
                <w:tcPr>
                  <w:tcW w:w="1963" w:type="dxa"/>
                  <w:gridSpan w:val="10"/>
                  <w:tcBorders>
                    <w:tl2br w:val="nil"/>
                    <w:tr2bl w:val="nil"/>
                  </w:tcBorders>
                  <w:vAlign w:val="center"/>
                </w:tcPr>
                <w:p>
                  <w:pPr>
                    <w:pStyle w:val="38"/>
                    <w:spacing w:before="31" w:after="31" w:line="240" w:lineRule="auto"/>
                    <w:ind w:left="0" w:leftChars="0" w:firstLine="0" w:firstLineChars="0"/>
                    <w:jc w:val="center"/>
                    <w:rPr>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非正常</m:t>
                        </m:r>
                        <m:ctrlPr>
                          <w:rPr>
                            <w:rFonts w:ascii="Cambria Math" w:hAnsi="Cambria Math"/>
                            <w:i/>
                            <w:color w:val="000000"/>
                            <w:szCs w:val="21"/>
                          </w:rPr>
                        </m:ctrlPr>
                      </m:sub>
                    </m:sSub>
                  </m:oMath>
                  <w:r>
                    <w:rPr>
                      <w:rFonts w:hint="eastAsia"/>
                      <w:szCs w:val="21"/>
                    </w:rPr>
                    <w:t>占标率</w:t>
                  </w:r>
                  <w:r>
                    <w:rPr>
                      <w:rFonts w:hint="eastAsia" w:ascii="仿宋" w:hAnsi="仿宋" w:eastAsia="仿宋"/>
                      <w:szCs w:val="21"/>
                    </w:rPr>
                    <w:t>≤</w:t>
                  </w:r>
                  <w:r>
                    <w:rPr>
                      <w:szCs w:val="21"/>
                    </w:rPr>
                    <w:t xml:space="preserve">100% </w:t>
                  </w:r>
                  <w:r>
                    <w:rPr>
                      <w:rFonts w:hint="eastAsia" w:ascii="仿宋" w:hAnsi="仿宋" w:eastAsia="仿宋"/>
                      <w:szCs w:val="21"/>
                    </w:rPr>
                    <w:t>□</w:t>
                  </w:r>
                </w:p>
              </w:tc>
              <w:tc>
                <w:tcPr>
                  <w:tcW w:w="2394" w:type="dxa"/>
                  <w:gridSpan w:val="6"/>
                  <w:tcBorders>
                    <w:tl2br w:val="nil"/>
                    <w:tr2bl w:val="nil"/>
                  </w:tcBorders>
                  <w:vAlign w:val="center"/>
                </w:tcPr>
                <w:p>
                  <w:pPr>
                    <w:pStyle w:val="38"/>
                    <w:spacing w:line="240" w:lineRule="auto"/>
                    <w:ind w:left="0" w:leftChars="0" w:firstLine="0" w:firstLineChars="0"/>
                    <w:jc w:val="center"/>
                    <w:rPr>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非正常</m:t>
                        </m:r>
                        <m:ctrlPr>
                          <w:rPr>
                            <w:rFonts w:ascii="Cambria Math" w:hAnsi="Cambria Math"/>
                            <w:i/>
                            <w:color w:val="000000"/>
                            <w:szCs w:val="21"/>
                          </w:rPr>
                        </m:ctrlPr>
                      </m:sub>
                    </m:sSub>
                  </m:oMath>
                  <w:r>
                    <w:rPr>
                      <w:rFonts w:hint="eastAsia"/>
                      <w:szCs w:val="21"/>
                    </w:rPr>
                    <w:t>占标率</w:t>
                  </w:r>
                  <w:r>
                    <w:rPr>
                      <w:rFonts w:hint="eastAsia" w:ascii="仿宋" w:hAnsi="仿宋" w:eastAsia="仿宋"/>
                      <w:szCs w:val="21"/>
                    </w:rPr>
                    <w:t>＞</w:t>
                  </w:r>
                  <w:r>
                    <w:rPr>
                      <w:szCs w:val="21"/>
                    </w:rPr>
                    <w:t>100%</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696"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ascii="Calibri" w:hAnsi="Calibri"/>
                      <w:szCs w:val="21"/>
                    </w:rPr>
                    <w:t>保证率日平均浓度和年平均浓度</w:t>
                  </w:r>
                  <w:r>
                    <w:rPr>
                      <w:rFonts w:hint="eastAsia"/>
                      <w:szCs w:val="21"/>
                    </w:rPr>
                    <w:t>叠加值</w:t>
                  </w:r>
                </w:p>
              </w:tc>
              <w:tc>
                <w:tcPr>
                  <w:tcW w:w="3299" w:type="dxa"/>
                  <w:gridSpan w:val="13"/>
                  <w:tcBorders>
                    <w:tl2br w:val="nil"/>
                    <w:tr2bl w:val="nil"/>
                  </w:tcBorders>
                  <w:vAlign w:val="center"/>
                </w:tcPr>
                <w:p>
                  <w:pPr>
                    <w:pStyle w:val="38"/>
                    <w:spacing w:line="240" w:lineRule="auto"/>
                    <w:ind w:left="0" w:leftChars="0" w:firstLine="0" w:firstLineChars="0"/>
                    <w:jc w:val="center"/>
                    <w:rPr>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叠加</m:t>
                        </m:r>
                        <m:ctrlPr>
                          <w:rPr>
                            <w:rFonts w:ascii="Cambria Math" w:hAnsi="Cambria Math"/>
                            <w:i/>
                            <w:color w:val="000000"/>
                            <w:szCs w:val="21"/>
                          </w:rPr>
                        </m:ctrlPr>
                      </m:sub>
                    </m:sSub>
                  </m:oMath>
                  <w:r>
                    <w:rPr>
                      <w:rFonts w:hint="eastAsia"/>
                      <w:szCs w:val="21"/>
                    </w:rPr>
                    <w:t>达标</w:t>
                  </w:r>
                  <w:r>
                    <w:rPr>
                      <w:szCs w:val="21"/>
                    </w:rPr>
                    <w:t xml:space="preserve"> </w:t>
                  </w:r>
                  <w:r>
                    <w:rPr>
                      <w:rFonts w:hint="eastAsia" w:ascii="仿宋" w:hAnsi="仿宋" w:eastAsia="仿宋"/>
                      <w:szCs w:val="21"/>
                    </w:rPr>
                    <w:t>□</w:t>
                  </w:r>
                </w:p>
              </w:tc>
              <w:tc>
                <w:tcPr>
                  <w:tcW w:w="2394" w:type="dxa"/>
                  <w:gridSpan w:val="6"/>
                  <w:tcBorders>
                    <w:tl2br w:val="nil"/>
                    <w:tr2bl w:val="nil"/>
                  </w:tcBorders>
                  <w:vAlign w:val="center"/>
                </w:tcPr>
                <w:p>
                  <w:pPr>
                    <w:pStyle w:val="38"/>
                    <w:spacing w:line="240" w:lineRule="auto"/>
                    <w:ind w:left="0" w:leftChars="0" w:firstLine="0" w:firstLineChars="0"/>
                    <w:jc w:val="center"/>
                    <w:rPr>
                      <w:szCs w:val="21"/>
                    </w:rPr>
                  </w:pPr>
                  <m:oMath>
                    <m:sSub>
                      <m:sSubPr>
                        <m:ctrlPr>
                          <w:rPr>
                            <w:rFonts w:ascii="Cambria Math" w:hAnsi="Cambria Math"/>
                            <w:i/>
                            <w:color w:val="000000"/>
                            <w:szCs w:val="21"/>
                          </w:rPr>
                        </m:ctrlPr>
                      </m:sSubPr>
                      <m:e>
                        <m:r>
                          <w:rPr>
                            <w:rFonts w:ascii="Cambria Math" w:hAnsi="Cambria Math"/>
                            <w:color w:val="000000"/>
                            <w:szCs w:val="21"/>
                          </w:rPr>
                          <m:t>C</m:t>
                        </m:r>
                        <m:ctrlPr>
                          <w:rPr>
                            <w:rFonts w:ascii="Cambria Math" w:hAnsi="Cambria Math"/>
                            <w:i/>
                            <w:color w:val="000000"/>
                            <w:szCs w:val="21"/>
                          </w:rPr>
                        </m:ctrlPr>
                      </m:e>
                      <m:sub>
                        <m:r>
                          <m:rPr>
                            <m:sty m:val="p"/>
                          </m:rPr>
                          <w:rPr>
                            <w:rFonts w:hint="eastAsia" w:ascii="Cambria Math" w:hAnsi="Cambria Math"/>
                            <w:color w:val="000000"/>
                            <w:szCs w:val="21"/>
                          </w:rPr>
                          <m:t>叠加</m:t>
                        </m:r>
                        <m:ctrlPr>
                          <w:rPr>
                            <w:rFonts w:ascii="Cambria Math" w:hAnsi="Cambria Math"/>
                            <w:i/>
                            <w:color w:val="000000"/>
                            <w:szCs w:val="21"/>
                          </w:rPr>
                        </m:ctrlPr>
                      </m:sub>
                    </m:sSub>
                  </m:oMath>
                  <w:r>
                    <w:rPr>
                      <w:rFonts w:hint="eastAsia"/>
                      <w:szCs w:val="21"/>
                    </w:rPr>
                    <w:t>不达标</w:t>
                  </w:r>
                  <w:r>
                    <w:rPr>
                      <w:szCs w:val="21"/>
                    </w:rPr>
                    <w:t xml:space="preserve"> </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区域环境质量的整体变化情况</w:t>
                  </w:r>
                </w:p>
              </w:tc>
              <w:tc>
                <w:tcPr>
                  <w:tcW w:w="3299" w:type="dxa"/>
                  <w:gridSpan w:val="13"/>
                  <w:tcBorders>
                    <w:tl2br w:val="nil"/>
                    <w:tr2bl w:val="nil"/>
                  </w:tcBorders>
                  <w:vAlign w:val="center"/>
                </w:tcPr>
                <w:p>
                  <w:pPr>
                    <w:pStyle w:val="38"/>
                    <w:spacing w:line="240" w:lineRule="auto"/>
                    <w:ind w:left="0" w:leftChars="0" w:firstLine="0" w:firstLineChars="0"/>
                    <w:jc w:val="center"/>
                    <w:rPr>
                      <w:szCs w:val="21"/>
                    </w:rPr>
                  </w:pPr>
                  <w:r>
                    <w:rPr>
                      <w:i/>
                      <w:szCs w:val="21"/>
                    </w:rPr>
                    <w:t xml:space="preserve">k </w:t>
                  </w:r>
                  <w:r>
                    <w:rPr>
                      <w:rFonts w:hint="eastAsia" w:ascii="仿宋" w:hAnsi="仿宋" w:eastAsia="仿宋"/>
                      <w:szCs w:val="21"/>
                    </w:rPr>
                    <w:t>≤</w:t>
                  </w:r>
                  <w:r>
                    <w:rPr>
                      <w:szCs w:val="21"/>
                    </w:rPr>
                    <w:t xml:space="preserve">-20% </w:t>
                  </w:r>
                  <w:r>
                    <w:rPr>
                      <w:rFonts w:hint="eastAsia" w:ascii="仿宋" w:hAnsi="仿宋" w:eastAsia="仿宋"/>
                      <w:szCs w:val="21"/>
                    </w:rPr>
                    <w:t>□</w:t>
                  </w:r>
                </w:p>
              </w:tc>
              <w:tc>
                <w:tcPr>
                  <w:tcW w:w="2394" w:type="dxa"/>
                  <w:gridSpan w:val="6"/>
                  <w:tcBorders>
                    <w:tl2br w:val="nil"/>
                    <w:tr2bl w:val="nil"/>
                  </w:tcBorders>
                  <w:vAlign w:val="center"/>
                </w:tcPr>
                <w:p>
                  <w:pPr>
                    <w:pStyle w:val="38"/>
                    <w:spacing w:line="240" w:lineRule="auto"/>
                    <w:ind w:left="0" w:leftChars="0" w:firstLine="0" w:firstLineChars="0"/>
                    <w:jc w:val="center"/>
                    <w:rPr>
                      <w:szCs w:val="21"/>
                    </w:rPr>
                  </w:pPr>
                  <w:r>
                    <w:rPr>
                      <w:i/>
                      <w:szCs w:val="21"/>
                    </w:rPr>
                    <w:t>k</w:t>
                  </w:r>
                  <w:r>
                    <w:rPr>
                      <w:szCs w:val="21"/>
                    </w:rPr>
                    <w:t xml:space="preserve"> </w:t>
                  </w:r>
                  <w:r>
                    <w:rPr>
                      <w:rFonts w:hint="eastAsia" w:ascii="仿宋" w:hAnsi="仿宋" w:eastAsia="仿宋"/>
                      <w:szCs w:val="21"/>
                    </w:rPr>
                    <w:t>＞</w:t>
                  </w:r>
                  <w:r>
                    <w:rPr>
                      <w:szCs w:val="21"/>
                    </w:rPr>
                    <w:t xml:space="preserve">-20% </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restart"/>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环境监测</w:t>
                  </w:r>
                  <w:r>
                    <w:rPr>
                      <w:szCs w:val="21"/>
                    </w:rPr>
                    <w:br w:type="textWrapping"/>
                  </w:r>
                  <w:r>
                    <w:rPr>
                      <w:rFonts w:hint="eastAsia"/>
                      <w:szCs w:val="21"/>
                    </w:rPr>
                    <w:t>计划</w:t>
                  </w: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污染源监测</w:t>
                  </w:r>
                </w:p>
              </w:tc>
              <w:tc>
                <w:tcPr>
                  <w:tcW w:w="2535" w:type="dxa"/>
                  <w:gridSpan w:val="10"/>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监测因子：（</w:t>
                  </w:r>
                  <w:r>
                    <w:rPr>
                      <w:rFonts w:hint="eastAsia"/>
                      <w:szCs w:val="21"/>
                      <w:lang w:val="en-US"/>
                    </w:rPr>
                    <w:t>SO</w:t>
                  </w:r>
                  <w:r>
                    <w:rPr>
                      <w:rFonts w:hint="eastAsia"/>
                      <w:szCs w:val="21"/>
                      <w:vertAlign w:val="subscript"/>
                      <w:lang w:val="en-US"/>
                    </w:rPr>
                    <w:t>2</w:t>
                  </w:r>
                  <w:r>
                    <w:rPr>
                      <w:rFonts w:hint="eastAsia"/>
                      <w:szCs w:val="21"/>
                      <w:lang w:val="en-US"/>
                    </w:rPr>
                    <w:t>、NO</w:t>
                  </w:r>
                  <w:r>
                    <w:rPr>
                      <w:rFonts w:hint="eastAsia"/>
                      <w:szCs w:val="21"/>
                      <w:vertAlign w:val="subscript"/>
                      <w:lang w:val="en-US" w:eastAsia="zh-CN"/>
                    </w:rPr>
                    <w:t>x</w:t>
                  </w:r>
                  <w:r>
                    <w:rPr>
                      <w:rFonts w:hint="eastAsia"/>
                      <w:szCs w:val="21"/>
                      <w:lang w:val="en-US"/>
                    </w:rPr>
                    <w:t>、TSP、TVOC</w:t>
                  </w:r>
                  <w:r>
                    <w:rPr>
                      <w:rFonts w:hint="eastAsia"/>
                      <w:szCs w:val="21"/>
                    </w:rPr>
                    <w:t>）</w:t>
                  </w:r>
                </w:p>
              </w:tc>
              <w:tc>
                <w:tcPr>
                  <w:tcW w:w="2051" w:type="dxa"/>
                  <w:gridSpan w:val="7"/>
                  <w:tcBorders>
                    <w:tl2br w:val="nil"/>
                    <w:tr2bl w:val="nil"/>
                  </w:tcBorders>
                  <w:vAlign w:val="center"/>
                </w:tcPr>
                <w:p>
                  <w:pPr>
                    <w:pStyle w:val="38"/>
                    <w:spacing w:line="240" w:lineRule="auto"/>
                    <w:ind w:left="0" w:leftChars="0" w:firstLine="0" w:firstLineChars="0"/>
                    <w:jc w:val="center"/>
                    <w:rPr>
                      <w:rFonts w:eastAsia="仿宋"/>
                      <w:szCs w:val="21"/>
                    </w:rPr>
                  </w:pPr>
                  <w:r>
                    <w:rPr>
                      <w:rFonts w:hint="eastAsia"/>
                      <w:szCs w:val="21"/>
                    </w:rPr>
                    <w:t xml:space="preserve">有组织废气监测 </w:t>
                  </w:r>
                  <w:r>
                    <w:rPr>
                      <w:rFonts w:hint="eastAsia" w:ascii="仿宋" w:hAnsi="仿宋" w:eastAsia="仿宋"/>
                      <w:szCs w:val="21"/>
                    </w:rPr>
                    <w:sym w:font="Wingdings 2" w:char="0052"/>
                  </w:r>
                  <w:r>
                    <w:rPr>
                      <w:szCs w:val="21"/>
                    </w:rPr>
                    <w:t xml:space="preserve">    </w:t>
                  </w:r>
                  <w:r>
                    <w:rPr>
                      <w:szCs w:val="21"/>
                    </w:rPr>
                    <w:br w:type="textWrapping"/>
                  </w:r>
                  <w:r>
                    <w:rPr>
                      <w:rFonts w:hint="eastAsia"/>
                      <w:szCs w:val="21"/>
                    </w:rPr>
                    <w:t xml:space="preserve">无组织废气监测 </w:t>
                  </w:r>
                  <w:r>
                    <w:rPr>
                      <w:rFonts w:hint="eastAsia" w:ascii="仿宋" w:hAnsi="仿宋" w:eastAsia="仿宋"/>
                      <w:szCs w:val="21"/>
                    </w:rPr>
                    <w:sym w:font="Wingdings 2" w:char="0052"/>
                  </w:r>
                </w:p>
              </w:tc>
              <w:tc>
                <w:tcPr>
                  <w:tcW w:w="1107" w:type="dxa"/>
                  <w:gridSpan w:val="2"/>
                  <w:tcBorders>
                    <w:tl2br w:val="nil"/>
                    <w:tr2bl w:val="nil"/>
                  </w:tcBorders>
                  <w:vAlign w:val="center"/>
                </w:tcPr>
                <w:p>
                  <w:pPr>
                    <w:pStyle w:val="38"/>
                    <w:spacing w:line="240" w:lineRule="auto"/>
                    <w:ind w:left="0" w:leftChars="0" w:firstLine="0" w:firstLineChars="0"/>
                    <w:jc w:val="center"/>
                    <w:rPr>
                      <w:szCs w:val="21"/>
                    </w:rPr>
                  </w:pPr>
                  <w:r>
                    <w:rPr>
                      <w:rFonts w:hint="eastAsia"/>
                      <w:szCs w:val="21"/>
                    </w:rPr>
                    <w:t>无监测</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环境质量监测</w:t>
                  </w:r>
                </w:p>
              </w:tc>
              <w:tc>
                <w:tcPr>
                  <w:tcW w:w="1695" w:type="dxa"/>
                  <w:gridSpan w:val="6"/>
                  <w:tcBorders>
                    <w:tl2br w:val="nil"/>
                    <w:tr2bl w:val="nil"/>
                  </w:tcBorders>
                  <w:vAlign w:val="center"/>
                </w:tcPr>
                <w:p>
                  <w:pPr>
                    <w:pStyle w:val="38"/>
                    <w:spacing w:line="240" w:lineRule="auto"/>
                    <w:ind w:left="0" w:leftChars="0" w:firstLine="0" w:firstLineChars="0"/>
                    <w:rPr>
                      <w:szCs w:val="21"/>
                    </w:rPr>
                  </w:pPr>
                  <w:r>
                    <w:rPr>
                      <w:rFonts w:hint="eastAsia"/>
                      <w:szCs w:val="21"/>
                    </w:rPr>
                    <w:t>监测因子：（</w:t>
                  </w:r>
                  <w:r>
                    <w:rPr>
                      <w:szCs w:val="21"/>
                    </w:rPr>
                    <w:t xml:space="preserve">  </w:t>
                  </w:r>
                  <w:r>
                    <w:rPr>
                      <w:rFonts w:hint="eastAsia"/>
                      <w:szCs w:val="21"/>
                    </w:rPr>
                    <w:t>）</w:t>
                  </w:r>
                </w:p>
              </w:tc>
              <w:tc>
                <w:tcPr>
                  <w:tcW w:w="2891" w:type="dxa"/>
                  <w:gridSpan w:val="11"/>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监测点位数（</w:t>
                  </w:r>
                  <w:r>
                    <w:rPr>
                      <w:szCs w:val="21"/>
                    </w:rPr>
                    <w:t xml:space="preserve">     </w:t>
                  </w:r>
                  <w:r>
                    <w:rPr>
                      <w:rFonts w:hint="eastAsia"/>
                      <w:szCs w:val="21"/>
                    </w:rPr>
                    <w:t>）</w:t>
                  </w:r>
                </w:p>
              </w:tc>
              <w:tc>
                <w:tcPr>
                  <w:tcW w:w="1107" w:type="dxa"/>
                  <w:gridSpan w:val="2"/>
                  <w:tcBorders>
                    <w:tl2br w:val="nil"/>
                    <w:tr2bl w:val="nil"/>
                  </w:tcBorders>
                  <w:vAlign w:val="center"/>
                </w:tcPr>
                <w:p>
                  <w:pPr>
                    <w:pStyle w:val="38"/>
                    <w:spacing w:line="240" w:lineRule="auto"/>
                    <w:ind w:left="0" w:leftChars="0" w:firstLine="0" w:firstLineChars="0"/>
                    <w:jc w:val="center"/>
                    <w:rPr>
                      <w:rFonts w:eastAsia="仿宋"/>
                      <w:szCs w:val="21"/>
                    </w:rPr>
                  </w:pPr>
                  <w:r>
                    <w:rPr>
                      <w:rFonts w:hint="eastAsia"/>
                      <w:szCs w:val="21"/>
                    </w:rPr>
                    <w:t>无监测</w:t>
                  </w:r>
                  <w:r>
                    <w:rPr>
                      <w:rFonts w:hint="eastAsia" w:ascii="仿宋" w:hAnsi="仿宋" w:eastAsia="仿宋"/>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438" w:hRule="atLeast"/>
                <w:jc w:val="center"/>
              </w:trPr>
              <w:tc>
                <w:tcPr>
                  <w:tcW w:w="814" w:type="dxa"/>
                  <w:vMerge w:val="restart"/>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评价结论</w:t>
                  </w: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环境影响</w:t>
                  </w:r>
                </w:p>
              </w:tc>
              <w:tc>
                <w:tcPr>
                  <w:tcW w:w="5693" w:type="dxa"/>
                  <w:gridSpan w:val="19"/>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可以接受</w:t>
                  </w:r>
                  <w:r>
                    <w:rPr>
                      <w:szCs w:val="21"/>
                    </w:rPr>
                    <w:t xml:space="preserve"> </w:t>
                  </w:r>
                  <w:r>
                    <w:rPr>
                      <w:rFonts w:hint="eastAsia" w:ascii="仿宋" w:hAnsi="仿宋" w:eastAsia="仿宋"/>
                      <w:szCs w:val="21"/>
                    </w:rPr>
                    <w:sym w:font="Wingdings 2" w:char="0052"/>
                  </w:r>
                  <w:r>
                    <w:rPr>
                      <w:szCs w:val="21"/>
                    </w:rPr>
                    <w:t xml:space="preserve">       </w:t>
                  </w:r>
                  <w:r>
                    <w:rPr>
                      <w:rFonts w:hint="eastAsia"/>
                      <w:szCs w:val="21"/>
                    </w:rPr>
                    <w:t>不可以接受</w:t>
                  </w:r>
                  <w:r>
                    <w:rPr>
                      <w:szCs w:val="21"/>
                    </w:rPr>
                    <w:t xml:space="preserve"> </w:t>
                  </w:r>
                  <w:r>
                    <w:rPr>
                      <w:rFonts w:hint="eastAsia" w:ascii="仿宋" w:hAnsi="仿宋" w:eastAsia="仿宋"/>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443"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大气环境防护距离</w:t>
                  </w:r>
                </w:p>
              </w:tc>
              <w:tc>
                <w:tcPr>
                  <w:tcW w:w="5693" w:type="dxa"/>
                  <w:gridSpan w:val="19"/>
                  <w:tcBorders>
                    <w:tl2br w:val="nil"/>
                    <w:tr2bl w:val="nil"/>
                  </w:tcBorders>
                  <w:vAlign w:val="center"/>
                </w:tcPr>
                <w:p>
                  <w:pPr>
                    <w:pStyle w:val="38"/>
                    <w:spacing w:line="240" w:lineRule="auto"/>
                    <w:ind w:left="0" w:leftChars="0" w:firstLine="0" w:firstLineChars="0"/>
                    <w:jc w:val="center"/>
                    <w:rPr>
                      <w:szCs w:val="21"/>
                    </w:rPr>
                  </w:pPr>
                  <w:r>
                    <w:rPr>
                      <w:rFonts w:hint="eastAsia"/>
                      <w:szCs w:val="21"/>
                    </w:rPr>
                    <w:t>距（</w:t>
                  </w:r>
                  <w:r>
                    <w:rPr>
                      <w:szCs w:val="21"/>
                    </w:rPr>
                    <w:t xml:space="preserve">     </w:t>
                  </w:r>
                  <w:r>
                    <w:rPr>
                      <w:rFonts w:hint="eastAsia"/>
                      <w:szCs w:val="21"/>
                    </w:rPr>
                    <w:t>）厂界最远（</w:t>
                  </w:r>
                  <w:r>
                    <w:rPr>
                      <w:szCs w:val="21"/>
                    </w:rPr>
                    <w:t xml:space="preserve">     </w:t>
                  </w:r>
                  <w:r>
                    <w:rPr>
                      <w:rFonts w:hint="eastAsia"/>
                      <w:szCs w:val="21"/>
                    </w:rPr>
                    <w:t>）</w:t>
                  </w:r>
                  <w:r>
                    <w:rPr>
                      <w:szCs w:val="21"/>
                    </w:rPr>
                    <w:t>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268" w:hRule="atLeast"/>
                <w:jc w:val="center"/>
              </w:trPr>
              <w:tc>
                <w:tcPr>
                  <w:tcW w:w="814" w:type="dxa"/>
                  <w:vMerge w:val="continue"/>
                  <w:tcBorders>
                    <w:tl2br w:val="nil"/>
                    <w:tr2bl w:val="nil"/>
                  </w:tcBorders>
                  <w:vAlign w:val="center"/>
                </w:tcPr>
                <w:p>
                  <w:pPr>
                    <w:pStyle w:val="38"/>
                    <w:spacing w:line="240" w:lineRule="auto"/>
                    <w:ind w:left="0" w:leftChars="0" w:firstLine="0" w:firstLineChars="0"/>
                    <w:jc w:val="center"/>
                    <w:rPr>
                      <w:szCs w:val="21"/>
                    </w:rPr>
                  </w:pPr>
                </w:p>
              </w:tc>
              <w:tc>
                <w:tcPr>
                  <w:tcW w:w="1789" w:type="dxa"/>
                  <w:tcBorders>
                    <w:tl2br w:val="nil"/>
                    <w:tr2bl w:val="nil"/>
                  </w:tcBorders>
                  <w:vAlign w:val="center"/>
                </w:tcPr>
                <w:p>
                  <w:pPr>
                    <w:pStyle w:val="38"/>
                    <w:spacing w:line="240" w:lineRule="auto"/>
                    <w:ind w:left="0" w:leftChars="0" w:firstLine="0" w:firstLineChars="0"/>
                    <w:jc w:val="center"/>
                    <w:rPr>
                      <w:szCs w:val="21"/>
                    </w:rPr>
                  </w:pPr>
                  <w:r>
                    <w:rPr>
                      <w:rFonts w:hint="eastAsia"/>
                      <w:szCs w:val="21"/>
                    </w:rPr>
                    <w:t>污染源年排放量</w:t>
                  </w:r>
                </w:p>
              </w:tc>
              <w:tc>
                <w:tcPr>
                  <w:tcW w:w="1257" w:type="dxa"/>
                  <w:gridSpan w:val="2"/>
                  <w:tcBorders>
                    <w:tl2br w:val="nil"/>
                    <w:tr2bl w:val="nil"/>
                  </w:tcBorders>
                  <w:vAlign w:val="center"/>
                </w:tcPr>
                <w:p>
                  <w:pPr>
                    <w:pStyle w:val="38"/>
                    <w:spacing w:line="240" w:lineRule="auto"/>
                    <w:ind w:left="0" w:leftChars="0" w:firstLine="0" w:firstLineChars="0"/>
                    <w:jc w:val="center"/>
                    <w:rPr>
                      <w:color w:val="FF0000"/>
                      <w:szCs w:val="21"/>
                    </w:rPr>
                  </w:pPr>
                  <w:r>
                    <w:rPr>
                      <w:color w:val="FF0000"/>
                      <w:szCs w:val="21"/>
                    </w:rPr>
                    <w:t>SO</w:t>
                  </w:r>
                  <w:r>
                    <w:rPr>
                      <w:color w:val="FF0000"/>
                      <w:szCs w:val="21"/>
                      <w:vertAlign w:val="subscript"/>
                    </w:rPr>
                    <w:t>2</w:t>
                  </w:r>
                  <w:r>
                    <w:rPr>
                      <w:color w:val="FF0000"/>
                      <w:szCs w:val="21"/>
                    </w:rPr>
                    <w:t>:</w:t>
                  </w:r>
                  <w:r>
                    <w:rPr>
                      <w:rFonts w:hint="eastAsia"/>
                      <w:color w:val="FF0000"/>
                      <w:szCs w:val="21"/>
                    </w:rPr>
                    <w:t>（</w:t>
                  </w:r>
                  <w:r>
                    <w:rPr>
                      <w:rFonts w:hint="eastAsia"/>
                      <w:color w:val="FF0000"/>
                      <w:szCs w:val="21"/>
                      <w:lang w:val="en-US" w:eastAsia="zh-CN"/>
                    </w:rPr>
                    <w:t>0.000005</w:t>
                  </w:r>
                  <w:r>
                    <w:rPr>
                      <w:rFonts w:hint="eastAsia"/>
                      <w:color w:val="FF0000"/>
                      <w:szCs w:val="21"/>
                    </w:rPr>
                    <w:t>）</w:t>
                  </w:r>
                  <w:r>
                    <w:rPr>
                      <w:color w:val="FF0000"/>
                      <w:szCs w:val="21"/>
                    </w:rPr>
                    <w:t>t/a</w:t>
                  </w:r>
                </w:p>
              </w:tc>
              <w:tc>
                <w:tcPr>
                  <w:tcW w:w="1351" w:type="dxa"/>
                  <w:gridSpan w:val="9"/>
                  <w:tcBorders>
                    <w:tl2br w:val="nil"/>
                    <w:tr2bl w:val="nil"/>
                  </w:tcBorders>
                  <w:vAlign w:val="center"/>
                </w:tcPr>
                <w:p>
                  <w:pPr>
                    <w:pStyle w:val="38"/>
                    <w:spacing w:line="240" w:lineRule="auto"/>
                    <w:ind w:left="0" w:leftChars="0" w:firstLine="0" w:firstLineChars="0"/>
                    <w:jc w:val="center"/>
                    <w:rPr>
                      <w:color w:val="FF0000"/>
                      <w:szCs w:val="21"/>
                    </w:rPr>
                  </w:pPr>
                  <w:r>
                    <w:rPr>
                      <w:color w:val="FF0000"/>
                      <w:szCs w:val="21"/>
                    </w:rPr>
                    <w:t>NO</w:t>
                  </w:r>
                  <w:r>
                    <w:rPr>
                      <w:color w:val="FF0000"/>
                      <w:szCs w:val="21"/>
                      <w:vertAlign w:val="subscript"/>
                    </w:rPr>
                    <w:t>x</w:t>
                  </w:r>
                  <w:r>
                    <w:rPr>
                      <w:color w:val="FF0000"/>
                      <w:szCs w:val="21"/>
                    </w:rPr>
                    <w:t>:</w:t>
                  </w:r>
                  <w:r>
                    <w:rPr>
                      <w:rFonts w:hint="eastAsia"/>
                      <w:color w:val="FF0000"/>
                      <w:szCs w:val="21"/>
                    </w:rPr>
                    <w:t>（</w:t>
                  </w:r>
                  <w:r>
                    <w:rPr>
                      <w:rFonts w:hint="eastAsia"/>
                      <w:color w:val="FF0000"/>
                      <w:szCs w:val="21"/>
                      <w:lang w:val="en-US"/>
                    </w:rPr>
                    <w:t>0.00</w:t>
                  </w:r>
                  <w:r>
                    <w:rPr>
                      <w:rFonts w:hint="eastAsia"/>
                      <w:color w:val="FF0000"/>
                      <w:szCs w:val="21"/>
                      <w:lang w:val="en-US" w:eastAsia="zh-CN"/>
                    </w:rPr>
                    <w:t>315</w:t>
                  </w:r>
                  <w:r>
                    <w:rPr>
                      <w:rFonts w:hint="eastAsia"/>
                      <w:color w:val="FF0000"/>
                      <w:szCs w:val="21"/>
                    </w:rPr>
                    <w:t>）</w:t>
                  </w:r>
                  <w:r>
                    <w:rPr>
                      <w:color w:val="FF0000"/>
                      <w:szCs w:val="21"/>
                    </w:rPr>
                    <w:t>t/a</w:t>
                  </w:r>
                </w:p>
              </w:tc>
              <w:tc>
                <w:tcPr>
                  <w:tcW w:w="1667" w:type="dxa"/>
                  <w:gridSpan w:val="5"/>
                  <w:tcBorders>
                    <w:tl2br w:val="nil"/>
                    <w:tr2bl w:val="nil"/>
                  </w:tcBorders>
                  <w:vAlign w:val="center"/>
                </w:tcPr>
                <w:p>
                  <w:pPr>
                    <w:pStyle w:val="38"/>
                    <w:spacing w:line="240" w:lineRule="auto"/>
                    <w:ind w:left="0" w:leftChars="0" w:firstLine="0" w:firstLineChars="0"/>
                    <w:jc w:val="center"/>
                    <w:rPr>
                      <w:color w:val="FF0000"/>
                      <w:szCs w:val="21"/>
                    </w:rPr>
                  </w:pPr>
                  <w:r>
                    <w:rPr>
                      <w:rFonts w:hint="eastAsia"/>
                      <w:color w:val="FF0000"/>
                      <w:szCs w:val="21"/>
                    </w:rPr>
                    <w:t>颗粒物</w:t>
                  </w:r>
                  <w:r>
                    <w:rPr>
                      <w:color w:val="FF0000"/>
                      <w:szCs w:val="21"/>
                    </w:rPr>
                    <w:t>:</w:t>
                  </w:r>
                  <w:r>
                    <w:rPr>
                      <w:rFonts w:hint="eastAsia"/>
                      <w:color w:val="FF0000"/>
                      <w:szCs w:val="21"/>
                    </w:rPr>
                    <w:t>（</w:t>
                  </w:r>
                  <w:r>
                    <w:rPr>
                      <w:rFonts w:hint="eastAsia"/>
                      <w:color w:val="FF0000"/>
                      <w:szCs w:val="21"/>
                      <w:lang w:val="en-US"/>
                    </w:rPr>
                    <w:t>0.</w:t>
                  </w:r>
                  <w:r>
                    <w:rPr>
                      <w:rFonts w:hint="eastAsia"/>
                      <w:color w:val="FF0000"/>
                      <w:szCs w:val="21"/>
                      <w:lang w:val="en-US" w:eastAsia="zh-CN"/>
                    </w:rPr>
                    <w:t>154</w:t>
                  </w:r>
                  <w:r>
                    <w:rPr>
                      <w:rFonts w:hint="eastAsia"/>
                      <w:color w:val="FF0000"/>
                      <w:szCs w:val="21"/>
                      <w:lang w:val="en-US"/>
                    </w:rPr>
                    <w:t>2</w:t>
                  </w:r>
                  <w:r>
                    <w:rPr>
                      <w:rFonts w:hint="eastAsia"/>
                      <w:color w:val="FF0000"/>
                      <w:szCs w:val="21"/>
                    </w:rPr>
                    <w:t>）</w:t>
                  </w:r>
                  <w:r>
                    <w:rPr>
                      <w:color w:val="FF0000"/>
                      <w:szCs w:val="21"/>
                    </w:rPr>
                    <w:t>t/a</w:t>
                  </w:r>
                </w:p>
              </w:tc>
              <w:tc>
                <w:tcPr>
                  <w:tcW w:w="1418" w:type="dxa"/>
                  <w:gridSpan w:val="3"/>
                  <w:tcBorders>
                    <w:tl2br w:val="nil"/>
                    <w:tr2bl w:val="nil"/>
                  </w:tcBorders>
                  <w:vAlign w:val="center"/>
                </w:tcPr>
                <w:p>
                  <w:pPr>
                    <w:pStyle w:val="38"/>
                    <w:spacing w:line="240" w:lineRule="auto"/>
                    <w:ind w:left="0" w:leftChars="0" w:firstLine="0" w:firstLineChars="0"/>
                    <w:jc w:val="center"/>
                    <w:rPr>
                      <w:color w:val="FF0000"/>
                      <w:szCs w:val="21"/>
                    </w:rPr>
                  </w:pPr>
                  <w:r>
                    <w:rPr>
                      <w:color w:val="FF0000"/>
                      <w:szCs w:val="21"/>
                    </w:rPr>
                    <w:t>VOC</w:t>
                  </w:r>
                  <w:r>
                    <w:rPr>
                      <w:color w:val="FF0000"/>
                      <w:szCs w:val="21"/>
                      <w:vertAlign w:val="subscript"/>
                    </w:rPr>
                    <w:t>s</w:t>
                  </w:r>
                  <w:r>
                    <w:rPr>
                      <w:color w:val="FF0000"/>
                      <w:szCs w:val="21"/>
                    </w:rPr>
                    <w:t>:</w:t>
                  </w:r>
                  <w:r>
                    <w:rPr>
                      <w:rFonts w:hint="eastAsia"/>
                      <w:color w:val="FF0000"/>
                      <w:szCs w:val="21"/>
                    </w:rPr>
                    <w:t>（</w:t>
                  </w:r>
                  <w:r>
                    <w:rPr>
                      <w:rFonts w:hint="eastAsia"/>
                      <w:color w:val="FF0000"/>
                      <w:szCs w:val="21"/>
                      <w:lang w:val="en-US" w:eastAsia="zh-CN"/>
                    </w:rPr>
                    <w:t>0.0228</w:t>
                  </w:r>
                  <w:r>
                    <w:rPr>
                      <w:rFonts w:hint="eastAsia"/>
                      <w:color w:val="FF0000"/>
                      <w:szCs w:val="21"/>
                    </w:rPr>
                    <w:t>）</w:t>
                  </w:r>
                  <w:r>
                    <w:rPr>
                      <w:color w:val="FF0000"/>
                      <w:szCs w:val="21"/>
                    </w:rPr>
                    <w:t>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Ex>
              <w:trPr>
                <w:trHeight w:val="457" w:hRule="atLeast"/>
                <w:jc w:val="center"/>
              </w:trPr>
              <w:tc>
                <w:tcPr>
                  <w:tcW w:w="8296" w:type="dxa"/>
                  <w:gridSpan w:val="21"/>
                  <w:tcBorders>
                    <w:tl2br w:val="nil"/>
                    <w:tr2bl w:val="nil"/>
                  </w:tcBorders>
                  <w:vAlign w:val="center"/>
                </w:tcPr>
                <w:p>
                  <w:pPr>
                    <w:pStyle w:val="38"/>
                    <w:spacing w:line="240" w:lineRule="auto"/>
                    <w:ind w:left="0" w:leftChars="0" w:firstLine="0" w:firstLineChars="0"/>
                    <w:jc w:val="center"/>
                    <w:rPr>
                      <w:szCs w:val="21"/>
                    </w:rPr>
                  </w:pPr>
                  <w:r>
                    <w:rPr>
                      <w:rFonts w:hint="eastAsia"/>
                      <w:szCs w:val="21"/>
                    </w:rPr>
                    <w:t>注：“</w:t>
                  </w:r>
                  <w:r>
                    <w:rPr>
                      <w:rFonts w:hint="eastAsia" w:ascii="仿宋" w:hAnsi="仿宋" w:eastAsia="仿宋"/>
                      <w:szCs w:val="21"/>
                    </w:rPr>
                    <w:t>□</w:t>
                  </w:r>
                  <w:r>
                    <w:rPr>
                      <w:rFonts w:hint="eastAsia"/>
                      <w:szCs w:val="21"/>
                    </w:rPr>
                    <w:t>”</w:t>
                  </w:r>
                  <w:r>
                    <w:rPr>
                      <w:szCs w:val="21"/>
                    </w:rPr>
                    <w:t xml:space="preserve"> </w:t>
                  </w:r>
                  <w:r>
                    <w:rPr>
                      <w:rFonts w:hint="eastAsia"/>
                      <w:szCs w:val="21"/>
                    </w:rPr>
                    <w:t>为勾选项</w:t>
                  </w:r>
                  <w:r>
                    <w:rPr>
                      <w:szCs w:val="21"/>
                    </w:rPr>
                    <w:t xml:space="preserve"> </w:t>
                  </w:r>
                  <w:r>
                    <w:rPr>
                      <w:rFonts w:hint="eastAsia"/>
                      <w:szCs w:val="21"/>
                    </w:rPr>
                    <w:t>，填“√”</w:t>
                  </w:r>
                  <w:r>
                    <w:rPr>
                      <w:szCs w:val="21"/>
                    </w:rPr>
                    <w:t xml:space="preserve"> </w:t>
                  </w:r>
                  <w:r>
                    <w:rPr>
                      <w:rFonts w:hint="eastAsia"/>
                      <w:szCs w:val="21"/>
                    </w:rPr>
                    <w:t>；</w:t>
                  </w:r>
                  <w:r>
                    <w:rPr>
                      <w:szCs w:val="21"/>
                    </w:rPr>
                    <w:t>“</w:t>
                  </w:r>
                  <w:r>
                    <w:rPr>
                      <w:rFonts w:hint="eastAsia"/>
                      <w:szCs w:val="21"/>
                    </w:rPr>
                    <w:t>（</w:t>
                  </w:r>
                  <w:r>
                    <w:rPr>
                      <w:szCs w:val="21"/>
                    </w:rPr>
                    <w:t xml:space="preserve">   </w:t>
                  </w:r>
                  <w:r>
                    <w:rPr>
                      <w:rFonts w:hint="eastAsia"/>
                      <w:szCs w:val="21"/>
                    </w:rPr>
                    <w:t>）</w:t>
                  </w:r>
                  <w:r>
                    <w:rPr>
                      <w:szCs w:val="21"/>
                    </w:rPr>
                    <w:t xml:space="preserve">” </w:t>
                  </w:r>
                  <w:r>
                    <w:rPr>
                      <w:rFonts w:hint="eastAsia"/>
                      <w:szCs w:val="21"/>
                    </w:rPr>
                    <w:t>为内容填写项</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FF0000"/>
                <w:sz w:val="24"/>
              </w:rPr>
            </w:pPr>
            <w:r>
              <w:rPr>
                <w:bCs/>
                <w:color w:val="FF0000"/>
                <w:sz w:val="24"/>
              </w:rPr>
              <w:t>（</w:t>
            </w:r>
            <w:r>
              <w:rPr>
                <w:rFonts w:hint="eastAsia"/>
                <w:bCs/>
                <w:color w:val="FF0000"/>
                <w:sz w:val="24"/>
                <w:lang w:val="en-US" w:eastAsia="zh-CN"/>
              </w:rPr>
              <w:t>6</w:t>
            </w:r>
            <w:r>
              <w:rPr>
                <w:bCs/>
                <w:color w:val="FF0000"/>
                <w:sz w:val="24"/>
              </w:rPr>
              <w:t>）大气环境防护距离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FF0000"/>
                <w:sz w:val="24"/>
              </w:rPr>
            </w:pPr>
            <w:r>
              <w:rPr>
                <w:bCs/>
                <w:color w:val="FF0000"/>
                <w:sz w:val="24"/>
              </w:rPr>
              <w:t>据《环境影响评价技术导则-大气环境》（HJ2.2-20</w:t>
            </w:r>
            <w:r>
              <w:rPr>
                <w:rFonts w:hint="eastAsia"/>
                <w:bCs/>
                <w:color w:val="FF0000"/>
                <w:sz w:val="24"/>
              </w:rPr>
              <w:t>1</w:t>
            </w:r>
            <w:r>
              <w:rPr>
                <w:bCs/>
                <w:color w:val="FF0000"/>
                <w:sz w:val="24"/>
              </w:rPr>
              <w:t>8），大气环境防护距离是指为保护人群健康，减少正常排放条件下大气污染物对居住区的环境影响，在项目厂界以外设置的环境防护距离。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FF0000"/>
                <w:sz w:val="24"/>
              </w:rPr>
            </w:pPr>
            <w:r>
              <w:rPr>
                <w:rFonts w:hint="eastAsia"/>
                <w:bCs/>
                <w:color w:val="FF0000"/>
                <w:sz w:val="24"/>
              </w:rPr>
              <w:t>项目污染物通过</w:t>
            </w:r>
            <w:r>
              <w:rPr>
                <w:bCs/>
                <w:color w:val="FF0000"/>
                <w:sz w:val="24"/>
              </w:rPr>
              <w:t>AERSCREEN模型估算</w:t>
            </w:r>
            <w:r>
              <w:rPr>
                <w:rFonts w:hint="eastAsia"/>
                <w:bCs/>
                <w:color w:val="FF0000"/>
                <w:sz w:val="24"/>
              </w:rPr>
              <w:t>，项目</w:t>
            </w:r>
            <w:r>
              <w:rPr>
                <w:bCs/>
                <w:color w:val="FF0000"/>
                <w:sz w:val="24"/>
              </w:rPr>
              <w:t>厂界以外</w:t>
            </w:r>
            <w:r>
              <w:rPr>
                <w:rFonts w:hint="eastAsia"/>
                <w:bCs/>
                <w:color w:val="FF0000"/>
                <w:sz w:val="24"/>
              </w:rPr>
              <w:t>无超标点，</w:t>
            </w:r>
            <w:r>
              <w:rPr>
                <w:bCs/>
                <w:color w:val="FF0000"/>
                <w:sz w:val="24"/>
              </w:rPr>
              <w:t>无需设置大气防护距离。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FF0000"/>
                <w:sz w:val="24"/>
              </w:rPr>
            </w:pPr>
            <w:r>
              <w:rPr>
                <w:rFonts w:hint="eastAsia"/>
                <w:bCs/>
                <w:color w:val="FF0000"/>
                <w:sz w:val="24"/>
              </w:rPr>
              <w:t>（</w:t>
            </w:r>
            <w:r>
              <w:rPr>
                <w:rFonts w:hint="eastAsia"/>
                <w:bCs/>
                <w:color w:val="FF0000"/>
                <w:sz w:val="24"/>
                <w:lang w:val="en-US" w:eastAsia="zh-CN"/>
              </w:rPr>
              <w:t>7</w:t>
            </w:r>
            <w:r>
              <w:rPr>
                <w:rFonts w:hint="eastAsia"/>
                <w:bCs/>
                <w:color w:val="FF0000"/>
                <w:sz w:val="24"/>
              </w:rPr>
              <w:t>）卫生防护距离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FF0000"/>
                <w:sz w:val="24"/>
              </w:rPr>
            </w:pPr>
            <w:r>
              <w:rPr>
                <w:bCs/>
                <w:color w:val="FF0000"/>
                <w:sz w:val="24"/>
              </w:rPr>
              <w:t>据《制定地方大气污染物排放标准的技术方法》（GB/T3840-91）中推荐的方法，通过无组织排放的情况，可计算出企业生产区域所需的卫生防护距离，其卫生防护距离计算公式如下：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FF0000"/>
                <w:sz w:val="24"/>
              </w:rPr>
            </w:pPr>
            <w:r>
              <w:rPr>
                <w:bCs/>
                <w:color w:val="FF0000"/>
                <w:sz w:val="24"/>
              </w:rPr>
              <w:t>根据《制定地方大气污染物排放标准的技术方法》（GB/T13201-91）的规定，无组织排放有害气体的生产单元（生产区、车间或工段）与居住区之间应设置卫生防护距离。</w:t>
            </w:r>
          </w:p>
          <w:p>
            <w:pPr>
              <w:spacing w:line="360" w:lineRule="auto"/>
              <w:ind w:firstLine="480" w:firstLineChars="200"/>
              <w:rPr>
                <w:color w:val="FF0000"/>
                <w:sz w:val="24"/>
                <w:szCs w:val="32"/>
              </w:rPr>
            </w:pPr>
            <w:r>
              <w:rPr>
                <w:color w:val="FF0000"/>
                <w:sz w:val="24"/>
                <w:szCs w:val="32"/>
              </w:rPr>
              <w:t>1）卫生防护距离的计算：</w:t>
            </w:r>
          </w:p>
          <w:p>
            <w:pPr>
              <w:spacing w:line="360" w:lineRule="auto"/>
              <w:jc w:val="center"/>
              <w:rPr>
                <w:color w:val="FF0000"/>
                <w:sz w:val="24"/>
                <w:szCs w:val="32"/>
              </w:rPr>
            </w:pPr>
            <w:r>
              <w:rPr>
                <w:color w:val="FF0000"/>
                <w:sz w:val="24"/>
                <w:szCs w:val="32"/>
              </w:rPr>
              <w:drawing>
                <wp:inline distT="0" distB="0" distL="114300" distR="114300">
                  <wp:extent cx="1953260" cy="433070"/>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
                          <a:stretch>
                            <a:fillRect/>
                          </a:stretch>
                        </pic:blipFill>
                        <pic:spPr>
                          <a:xfrm>
                            <a:off x="0" y="0"/>
                            <a:ext cx="1953260" cy="433070"/>
                          </a:xfrm>
                          <a:prstGeom prst="rect">
                            <a:avLst/>
                          </a:prstGeom>
                          <a:noFill/>
                          <a:ln>
                            <a:noFill/>
                          </a:ln>
                        </pic:spPr>
                      </pic:pic>
                    </a:graphicData>
                  </a:graphic>
                </wp:inline>
              </w:drawing>
            </w:r>
          </w:p>
          <w:p>
            <w:pPr>
              <w:spacing w:line="360" w:lineRule="auto"/>
              <w:ind w:firstLine="480" w:firstLineChars="200"/>
              <w:rPr>
                <w:color w:val="FF0000"/>
                <w:sz w:val="24"/>
                <w:szCs w:val="32"/>
              </w:rPr>
            </w:pPr>
            <w:r>
              <w:rPr>
                <w:color w:val="FF0000"/>
                <w:sz w:val="24"/>
                <w:szCs w:val="32"/>
              </w:rPr>
              <w:t>式中：</w:t>
            </w:r>
            <w:r>
              <w:rPr>
                <w:color w:val="FF0000"/>
                <w:sz w:val="24"/>
                <w:szCs w:val="32"/>
              </w:rPr>
              <w:tab/>
            </w:r>
            <w:r>
              <w:rPr>
                <w:i/>
                <w:color w:val="FF0000"/>
                <w:sz w:val="24"/>
                <w:szCs w:val="32"/>
              </w:rPr>
              <w:t>C</w:t>
            </w:r>
            <w:r>
              <w:rPr>
                <w:i/>
                <w:color w:val="FF0000"/>
                <w:sz w:val="24"/>
                <w:szCs w:val="32"/>
                <w:vertAlign w:val="subscript"/>
              </w:rPr>
              <w:t>m</w:t>
            </w:r>
            <w:r>
              <w:rPr>
                <w:color w:val="FF0000"/>
                <w:sz w:val="24"/>
                <w:szCs w:val="32"/>
              </w:rPr>
              <w:t>——标准浓度限值，mg/Nm</w:t>
            </w:r>
            <w:r>
              <w:rPr>
                <w:color w:val="FF0000"/>
                <w:sz w:val="24"/>
                <w:szCs w:val="32"/>
                <w:vertAlign w:val="superscript"/>
              </w:rPr>
              <w:t>3</w:t>
            </w:r>
            <w:r>
              <w:rPr>
                <w:color w:val="FF0000"/>
                <w:sz w:val="24"/>
                <w:szCs w:val="32"/>
              </w:rPr>
              <w:t>；</w:t>
            </w:r>
          </w:p>
          <w:p>
            <w:pPr>
              <w:spacing w:line="360" w:lineRule="auto"/>
              <w:ind w:firstLine="480" w:firstLineChars="200"/>
              <w:rPr>
                <w:color w:val="FF0000"/>
                <w:sz w:val="24"/>
                <w:szCs w:val="32"/>
              </w:rPr>
            </w:pPr>
            <w:r>
              <w:rPr>
                <w:color w:val="FF0000"/>
                <w:sz w:val="24"/>
                <w:szCs w:val="32"/>
              </w:rPr>
              <w:tab/>
            </w:r>
            <w:r>
              <w:rPr>
                <w:color w:val="FF0000"/>
                <w:sz w:val="24"/>
                <w:szCs w:val="32"/>
              </w:rPr>
              <w:tab/>
            </w:r>
            <w:r>
              <w:rPr>
                <w:i/>
                <w:color w:val="FF0000"/>
                <w:sz w:val="24"/>
                <w:szCs w:val="32"/>
              </w:rPr>
              <w:t>Q</w:t>
            </w:r>
            <w:r>
              <w:rPr>
                <w:i/>
                <w:color w:val="FF0000"/>
                <w:sz w:val="24"/>
                <w:szCs w:val="32"/>
                <w:vertAlign w:val="subscript"/>
              </w:rPr>
              <w:t>c</w:t>
            </w:r>
            <w:r>
              <w:rPr>
                <w:color w:val="FF0000"/>
                <w:sz w:val="24"/>
                <w:szCs w:val="32"/>
              </w:rPr>
              <w:t>——工业企业有害气体无组织排放量可达到的控制水平，kg/h；</w:t>
            </w:r>
          </w:p>
          <w:p>
            <w:pPr>
              <w:spacing w:line="360" w:lineRule="auto"/>
              <w:ind w:firstLine="480" w:firstLineChars="200"/>
              <w:rPr>
                <w:color w:val="FF0000"/>
                <w:sz w:val="24"/>
                <w:szCs w:val="32"/>
              </w:rPr>
            </w:pPr>
            <w:r>
              <w:rPr>
                <w:color w:val="FF0000"/>
                <w:sz w:val="24"/>
                <w:szCs w:val="32"/>
              </w:rPr>
              <w:tab/>
            </w:r>
            <w:r>
              <w:rPr>
                <w:color w:val="FF0000"/>
                <w:sz w:val="24"/>
                <w:szCs w:val="32"/>
              </w:rPr>
              <w:tab/>
            </w:r>
            <w:r>
              <w:rPr>
                <w:i/>
                <w:color w:val="FF0000"/>
                <w:sz w:val="24"/>
                <w:szCs w:val="32"/>
              </w:rPr>
              <w:t>L</w:t>
            </w:r>
            <w:r>
              <w:rPr>
                <w:color w:val="FF0000"/>
                <w:sz w:val="24"/>
                <w:szCs w:val="32"/>
              </w:rPr>
              <w:t>——工业企业所需的卫生防护距离，m；</w:t>
            </w:r>
          </w:p>
          <w:p>
            <w:pPr>
              <w:spacing w:line="360" w:lineRule="auto"/>
              <w:ind w:firstLine="480" w:firstLineChars="200"/>
              <w:rPr>
                <w:color w:val="FF0000"/>
                <w:sz w:val="24"/>
                <w:szCs w:val="32"/>
              </w:rPr>
            </w:pPr>
            <w:r>
              <w:rPr>
                <w:color w:val="FF0000"/>
                <w:sz w:val="24"/>
                <w:szCs w:val="32"/>
              </w:rPr>
              <w:tab/>
            </w:r>
            <w:r>
              <w:rPr>
                <w:color w:val="FF0000"/>
                <w:sz w:val="24"/>
                <w:szCs w:val="32"/>
              </w:rPr>
              <w:tab/>
            </w:r>
            <w:r>
              <w:rPr>
                <w:i/>
                <w:color w:val="FF0000"/>
                <w:sz w:val="24"/>
                <w:szCs w:val="32"/>
              </w:rPr>
              <w:t>r</w:t>
            </w:r>
            <w:r>
              <w:rPr>
                <w:color w:val="FF0000"/>
                <w:sz w:val="24"/>
                <w:szCs w:val="32"/>
              </w:rPr>
              <w:t>——有害气体无组织排放源的等效半径，m；</w:t>
            </w:r>
          </w:p>
          <w:p>
            <w:pPr>
              <w:spacing w:line="360" w:lineRule="auto"/>
              <w:ind w:firstLine="480" w:firstLineChars="200"/>
              <w:rPr>
                <w:color w:val="FF0000"/>
                <w:sz w:val="24"/>
                <w:szCs w:val="32"/>
              </w:rPr>
            </w:pPr>
            <w:r>
              <w:rPr>
                <w:i/>
                <w:color w:val="FF0000"/>
                <w:sz w:val="24"/>
                <w:szCs w:val="32"/>
              </w:rPr>
              <w:tab/>
            </w:r>
            <w:r>
              <w:rPr>
                <w:i/>
                <w:color w:val="FF0000"/>
                <w:sz w:val="24"/>
                <w:szCs w:val="32"/>
              </w:rPr>
              <w:tab/>
            </w:r>
            <w:r>
              <w:rPr>
                <w:i/>
                <w:color w:val="FF0000"/>
                <w:sz w:val="24"/>
                <w:szCs w:val="32"/>
              </w:rPr>
              <w:t>Q</w:t>
            </w:r>
            <w:r>
              <w:rPr>
                <w:i/>
                <w:color w:val="FF0000"/>
                <w:sz w:val="24"/>
                <w:szCs w:val="32"/>
                <w:vertAlign w:val="subscript"/>
              </w:rPr>
              <w:t>c</w:t>
            </w:r>
            <w:r>
              <w:rPr>
                <w:color w:val="FF0000"/>
                <w:sz w:val="24"/>
                <w:szCs w:val="32"/>
              </w:rPr>
              <w:t>——取同类企业中生产工艺流程合理，生产管理与设备维护处于先进水平的工业企业，在正常运行时的无组织排放量；</w:t>
            </w:r>
          </w:p>
          <w:p>
            <w:pPr>
              <w:spacing w:line="360" w:lineRule="auto"/>
              <w:ind w:firstLine="480" w:firstLineChars="200"/>
              <w:rPr>
                <w:color w:val="FF0000"/>
                <w:sz w:val="24"/>
                <w:szCs w:val="32"/>
              </w:rPr>
            </w:pPr>
            <w:r>
              <w:rPr>
                <w:i/>
                <w:color w:val="FF0000"/>
                <w:sz w:val="24"/>
                <w:szCs w:val="32"/>
              </w:rPr>
              <w:t>A、B、C、D</w:t>
            </w:r>
            <w:r>
              <w:rPr>
                <w:color w:val="FF0000"/>
                <w:sz w:val="24"/>
                <w:szCs w:val="32"/>
              </w:rPr>
              <w:t>——卫生防护距离计算系数。</w:t>
            </w:r>
          </w:p>
          <w:p>
            <w:pPr>
              <w:spacing w:line="360" w:lineRule="auto"/>
              <w:ind w:firstLine="480" w:firstLineChars="200"/>
              <w:rPr>
                <w:color w:val="FF0000"/>
                <w:sz w:val="24"/>
                <w:szCs w:val="32"/>
              </w:rPr>
            </w:pPr>
            <w:r>
              <w:rPr>
                <w:color w:val="FF0000"/>
                <w:sz w:val="24"/>
                <w:szCs w:val="32"/>
              </w:rPr>
              <w:t>当按上式计算的L值在两级之间时，取偏宽的一级。具体取值根据下表选取。</w:t>
            </w:r>
          </w:p>
          <w:p>
            <w:pPr>
              <w:adjustRightInd w:val="0"/>
              <w:snapToGrid w:val="0"/>
              <w:spacing w:line="360" w:lineRule="auto"/>
              <w:ind w:firstLine="422" w:firstLineChars="200"/>
              <w:jc w:val="center"/>
              <w:rPr>
                <w:color w:val="auto"/>
                <w:sz w:val="21"/>
                <w:szCs w:val="21"/>
              </w:rPr>
            </w:pPr>
            <w:r>
              <w:rPr>
                <w:b/>
                <w:color w:val="FF0000"/>
                <w:sz w:val="21"/>
                <w:szCs w:val="21"/>
              </w:rPr>
              <w:t>表</w:t>
            </w:r>
            <w:r>
              <w:rPr>
                <w:rFonts w:hint="eastAsia"/>
                <w:b/>
                <w:color w:val="FF0000"/>
                <w:sz w:val="21"/>
                <w:szCs w:val="21"/>
                <w:lang w:val="en-US" w:eastAsia="zh-CN"/>
              </w:rPr>
              <w:t>7-17</w:t>
            </w:r>
            <w:r>
              <w:rPr>
                <w:b/>
                <w:color w:val="FF0000"/>
                <w:sz w:val="21"/>
                <w:szCs w:val="21"/>
              </w:rPr>
              <w:t xml:space="preserve"> 卫生防护距离计算系数</w:t>
            </w:r>
          </w:p>
          <w:tbl>
            <w:tblPr>
              <w:tblStyle w:val="15"/>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9"/>
              <w:gridCol w:w="2260"/>
              <w:gridCol w:w="579"/>
              <w:gridCol w:w="580"/>
              <w:gridCol w:w="580"/>
              <w:gridCol w:w="579"/>
              <w:gridCol w:w="581"/>
              <w:gridCol w:w="581"/>
              <w:gridCol w:w="580"/>
              <w:gridCol w:w="579"/>
              <w:gridCol w:w="5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1029" w:type="dxa"/>
                  <w:vMerge w:val="restart"/>
                  <w:noWrap w:val="0"/>
                  <w:vAlign w:val="center"/>
                </w:tcPr>
                <w:p>
                  <w:pPr>
                    <w:adjustRightInd w:val="0"/>
                    <w:snapToGrid w:val="0"/>
                    <w:spacing w:line="240" w:lineRule="auto"/>
                    <w:jc w:val="center"/>
                    <w:rPr>
                      <w:b/>
                      <w:bCs/>
                      <w:color w:val="auto"/>
                      <w:sz w:val="21"/>
                      <w:szCs w:val="21"/>
                    </w:rPr>
                  </w:pPr>
                  <w:r>
                    <w:rPr>
                      <w:b/>
                      <w:bCs/>
                      <w:color w:val="auto"/>
                      <w:sz w:val="21"/>
                      <w:szCs w:val="21"/>
                    </w:rPr>
                    <w:t>计算系数</w:t>
                  </w:r>
                </w:p>
              </w:tc>
              <w:tc>
                <w:tcPr>
                  <w:tcW w:w="2260" w:type="dxa"/>
                  <w:vMerge w:val="restart"/>
                  <w:noWrap w:val="0"/>
                  <w:vAlign w:val="center"/>
                </w:tcPr>
                <w:p>
                  <w:pPr>
                    <w:adjustRightInd w:val="0"/>
                    <w:snapToGrid w:val="0"/>
                    <w:spacing w:line="240" w:lineRule="auto"/>
                    <w:jc w:val="center"/>
                    <w:rPr>
                      <w:b/>
                      <w:bCs/>
                      <w:color w:val="auto"/>
                      <w:sz w:val="21"/>
                      <w:szCs w:val="21"/>
                    </w:rPr>
                  </w:pPr>
                  <w:r>
                    <w:rPr>
                      <w:b/>
                      <w:bCs/>
                      <w:color w:val="auto"/>
                      <w:sz w:val="21"/>
                      <w:szCs w:val="21"/>
                    </w:rPr>
                    <w:t>工业企业所在地区近五年</w:t>
                  </w:r>
                </w:p>
                <w:p>
                  <w:pPr>
                    <w:adjustRightInd w:val="0"/>
                    <w:snapToGrid w:val="0"/>
                    <w:spacing w:line="240" w:lineRule="auto"/>
                    <w:jc w:val="center"/>
                    <w:rPr>
                      <w:b/>
                      <w:bCs/>
                      <w:color w:val="auto"/>
                      <w:sz w:val="21"/>
                      <w:szCs w:val="21"/>
                    </w:rPr>
                  </w:pPr>
                  <w:r>
                    <w:rPr>
                      <w:b/>
                      <w:bCs/>
                      <w:color w:val="auto"/>
                      <w:sz w:val="21"/>
                      <w:szCs w:val="21"/>
                    </w:rPr>
                    <w:t>平均风速m/s</w:t>
                  </w:r>
                </w:p>
              </w:tc>
              <w:tc>
                <w:tcPr>
                  <w:tcW w:w="5231" w:type="dxa"/>
                  <w:gridSpan w:val="9"/>
                  <w:noWrap w:val="0"/>
                  <w:vAlign w:val="center"/>
                </w:tcPr>
                <w:p>
                  <w:pPr>
                    <w:adjustRightInd w:val="0"/>
                    <w:snapToGrid w:val="0"/>
                    <w:spacing w:line="240" w:lineRule="auto"/>
                    <w:jc w:val="center"/>
                    <w:rPr>
                      <w:b/>
                      <w:bCs/>
                      <w:color w:val="auto"/>
                      <w:sz w:val="21"/>
                      <w:szCs w:val="21"/>
                    </w:rPr>
                  </w:pPr>
                  <w:r>
                    <w:rPr>
                      <w:b/>
                      <w:bCs/>
                      <w:color w:val="auto"/>
                      <w:sz w:val="21"/>
                      <w:szCs w:val="21"/>
                    </w:rPr>
                    <w:t>卫生防护距离L（m）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1029" w:type="dxa"/>
                  <w:vMerge w:val="continue"/>
                  <w:noWrap w:val="0"/>
                  <w:vAlign w:val="center"/>
                </w:tcPr>
                <w:p>
                  <w:pPr>
                    <w:adjustRightInd w:val="0"/>
                    <w:snapToGrid w:val="0"/>
                    <w:spacing w:line="240" w:lineRule="auto"/>
                    <w:jc w:val="center"/>
                    <w:rPr>
                      <w:color w:val="auto"/>
                      <w:sz w:val="21"/>
                      <w:szCs w:val="21"/>
                    </w:rPr>
                  </w:pPr>
                </w:p>
              </w:tc>
              <w:tc>
                <w:tcPr>
                  <w:tcW w:w="2260" w:type="dxa"/>
                  <w:vMerge w:val="continue"/>
                  <w:noWrap w:val="0"/>
                  <w:vAlign w:val="center"/>
                </w:tcPr>
                <w:p>
                  <w:pPr>
                    <w:adjustRightInd w:val="0"/>
                    <w:snapToGrid w:val="0"/>
                    <w:spacing w:line="240" w:lineRule="auto"/>
                    <w:jc w:val="center"/>
                    <w:rPr>
                      <w:color w:val="auto"/>
                      <w:sz w:val="21"/>
                      <w:szCs w:val="21"/>
                    </w:rPr>
                  </w:pPr>
                </w:p>
              </w:tc>
              <w:tc>
                <w:tcPr>
                  <w:tcW w:w="1739" w:type="dxa"/>
                  <w:gridSpan w:val="3"/>
                  <w:noWrap w:val="0"/>
                  <w:vAlign w:val="center"/>
                </w:tcPr>
                <w:p>
                  <w:pPr>
                    <w:adjustRightInd w:val="0"/>
                    <w:snapToGrid w:val="0"/>
                    <w:spacing w:line="240" w:lineRule="auto"/>
                    <w:jc w:val="center"/>
                    <w:rPr>
                      <w:b/>
                      <w:bCs/>
                      <w:color w:val="auto"/>
                      <w:sz w:val="21"/>
                      <w:szCs w:val="21"/>
                    </w:rPr>
                  </w:pPr>
                  <w:r>
                    <w:rPr>
                      <w:b/>
                      <w:bCs/>
                      <w:color w:val="auto"/>
                      <w:sz w:val="21"/>
                      <w:szCs w:val="21"/>
                    </w:rPr>
                    <w:t>L≤1000</w:t>
                  </w:r>
                </w:p>
              </w:tc>
              <w:tc>
                <w:tcPr>
                  <w:tcW w:w="1741" w:type="dxa"/>
                  <w:gridSpan w:val="3"/>
                  <w:noWrap w:val="0"/>
                  <w:vAlign w:val="center"/>
                </w:tcPr>
                <w:p>
                  <w:pPr>
                    <w:adjustRightInd w:val="0"/>
                    <w:snapToGrid w:val="0"/>
                    <w:spacing w:line="240" w:lineRule="auto"/>
                    <w:jc w:val="center"/>
                    <w:rPr>
                      <w:b/>
                      <w:bCs/>
                      <w:color w:val="auto"/>
                      <w:sz w:val="21"/>
                      <w:szCs w:val="21"/>
                    </w:rPr>
                  </w:pPr>
                  <w:r>
                    <w:rPr>
                      <w:b/>
                      <w:bCs/>
                      <w:color w:val="auto"/>
                      <w:sz w:val="21"/>
                      <w:szCs w:val="21"/>
                    </w:rPr>
                    <w:t>1000＜L≤2000</w:t>
                  </w:r>
                </w:p>
              </w:tc>
              <w:tc>
                <w:tcPr>
                  <w:tcW w:w="1751" w:type="dxa"/>
                  <w:gridSpan w:val="3"/>
                  <w:noWrap w:val="0"/>
                  <w:vAlign w:val="center"/>
                </w:tcPr>
                <w:p>
                  <w:pPr>
                    <w:adjustRightInd w:val="0"/>
                    <w:snapToGrid w:val="0"/>
                    <w:spacing w:line="240" w:lineRule="auto"/>
                    <w:jc w:val="center"/>
                    <w:rPr>
                      <w:b/>
                      <w:bCs/>
                      <w:color w:val="auto"/>
                      <w:sz w:val="21"/>
                      <w:szCs w:val="21"/>
                    </w:rPr>
                  </w:pPr>
                  <w:r>
                    <w:rPr>
                      <w:b/>
                      <w:bCs/>
                      <w:color w:val="auto"/>
                      <w:sz w:val="21"/>
                      <w:szCs w:val="21"/>
                    </w:rPr>
                    <w:t>L＞2000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1029" w:type="dxa"/>
                  <w:vMerge w:val="continue"/>
                  <w:noWrap w:val="0"/>
                  <w:vAlign w:val="center"/>
                </w:tcPr>
                <w:p>
                  <w:pPr>
                    <w:adjustRightInd w:val="0"/>
                    <w:snapToGrid w:val="0"/>
                    <w:spacing w:line="240" w:lineRule="auto"/>
                    <w:jc w:val="center"/>
                    <w:rPr>
                      <w:color w:val="auto"/>
                      <w:sz w:val="21"/>
                      <w:szCs w:val="21"/>
                    </w:rPr>
                  </w:pPr>
                </w:p>
              </w:tc>
              <w:tc>
                <w:tcPr>
                  <w:tcW w:w="2260" w:type="dxa"/>
                  <w:vMerge w:val="continue"/>
                  <w:noWrap w:val="0"/>
                  <w:vAlign w:val="center"/>
                </w:tcPr>
                <w:p>
                  <w:pPr>
                    <w:adjustRightInd w:val="0"/>
                    <w:snapToGrid w:val="0"/>
                    <w:spacing w:line="240" w:lineRule="auto"/>
                    <w:jc w:val="center"/>
                    <w:rPr>
                      <w:color w:val="auto"/>
                      <w:sz w:val="21"/>
                      <w:szCs w:val="21"/>
                    </w:rPr>
                  </w:pPr>
                </w:p>
              </w:tc>
              <w:tc>
                <w:tcPr>
                  <w:tcW w:w="5231" w:type="dxa"/>
                  <w:gridSpan w:val="9"/>
                  <w:noWrap w:val="0"/>
                  <w:vAlign w:val="center"/>
                </w:tcPr>
                <w:p>
                  <w:pPr>
                    <w:adjustRightInd w:val="0"/>
                    <w:snapToGrid w:val="0"/>
                    <w:spacing w:line="240" w:lineRule="auto"/>
                    <w:jc w:val="center"/>
                    <w:rPr>
                      <w:b/>
                      <w:bCs/>
                      <w:color w:val="auto"/>
                      <w:sz w:val="21"/>
                      <w:szCs w:val="21"/>
                    </w:rPr>
                  </w:pPr>
                  <w:r>
                    <w:rPr>
                      <w:b/>
                      <w:bCs/>
                      <w:color w:val="auto"/>
                      <w:sz w:val="21"/>
                      <w:szCs w:val="21"/>
                    </w:rPr>
                    <w:t>工业企业大气污染源构成类别</w:t>
                  </w:r>
                  <w:r>
                    <w:rPr>
                      <w:b/>
                      <w:bCs/>
                      <w:color w:val="auto"/>
                      <w:sz w:val="21"/>
                      <w:szCs w:val="21"/>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jc w:val="center"/>
              </w:trPr>
              <w:tc>
                <w:tcPr>
                  <w:tcW w:w="1029" w:type="dxa"/>
                  <w:vMerge w:val="continue"/>
                  <w:noWrap w:val="0"/>
                  <w:vAlign w:val="center"/>
                </w:tcPr>
                <w:p>
                  <w:pPr>
                    <w:adjustRightInd w:val="0"/>
                    <w:snapToGrid w:val="0"/>
                    <w:spacing w:line="240" w:lineRule="auto"/>
                    <w:jc w:val="center"/>
                    <w:rPr>
                      <w:color w:val="auto"/>
                      <w:sz w:val="21"/>
                      <w:szCs w:val="21"/>
                    </w:rPr>
                  </w:pPr>
                </w:p>
              </w:tc>
              <w:tc>
                <w:tcPr>
                  <w:tcW w:w="2260" w:type="dxa"/>
                  <w:vMerge w:val="continue"/>
                  <w:noWrap w:val="0"/>
                  <w:vAlign w:val="center"/>
                </w:tcPr>
                <w:p>
                  <w:pPr>
                    <w:adjustRightInd w:val="0"/>
                    <w:snapToGrid w:val="0"/>
                    <w:spacing w:line="240" w:lineRule="auto"/>
                    <w:jc w:val="center"/>
                    <w:rPr>
                      <w:color w:val="auto"/>
                      <w:sz w:val="21"/>
                      <w:szCs w:val="21"/>
                    </w:rPr>
                  </w:pPr>
                </w:p>
              </w:tc>
              <w:tc>
                <w:tcPr>
                  <w:tcW w:w="579" w:type="dxa"/>
                  <w:noWrap w:val="0"/>
                  <w:vAlign w:val="center"/>
                </w:tcPr>
                <w:p>
                  <w:pPr>
                    <w:adjustRightInd w:val="0"/>
                    <w:snapToGrid w:val="0"/>
                    <w:spacing w:line="240" w:lineRule="auto"/>
                    <w:jc w:val="center"/>
                    <w:rPr>
                      <w:b/>
                      <w:bCs/>
                      <w:color w:val="auto"/>
                      <w:sz w:val="21"/>
                      <w:szCs w:val="21"/>
                    </w:rPr>
                  </w:pPr>
                  <w:r>
                    <w:rPr>
                      <w:b/>
                      <w:bCs/>
                      <w:color w:val="auto"/>
                      <w:sz w:val="21"/>
                      <w:szCs w:val="21"/>
                    </w:rPr>
                    <w:t>Ⅰ</w:t>
                  </w:r>
                </w:p>
              </w:tc>
              <w:tc>
                <w:tcPr>
                  <w:tcW w:w="580" w:type="dxa"/>
                  <w:noWrap w:val="0"/>
                  <w:vAlign w:val="center"/>
                </w:tcPr>
                <w:p>
                  <w:pPr>
                    <w:adjustRightInd w:val="0"/>
                    <w:snapToGrid w:val="0"/>
                    <w:spacing w:line="240" w:lineRule="auto"/>
                    <w:jc w:val="center"/>
                    <w:rPr>
                      <w:b/>
                      <w:bCs/>
                      <w:color w:val="auto"/>
                      <w:sz w:val="21"/>
                      <w:szCs w:val="21"/>
                    </w:rPr>
                  </w:pPr>
                  <w:r>
                    <w:rPr>
                      <w:b/>
                      <w:bCs/>
                      <w:color w:val="auto"/>
                      <w:sz w:val="21"/>
                      <w:szCs w:val="21"/>
                    </w:rPr>
                    <w:t>Ⅱ</w:t>
                  </w:r>
                </w:p>
              </w:tc>
              <w:tc>
                <w:tcPr>
                  <w:tcW w:w="580" w:type="dxa"/>
                  <w:noWrap w:val="0"/>
                  <w:vAlign w:val="center"/>
                </w:tcPr>
                <w:p>
                  <w:pPr>
                    <w:adjustRightInd w:val="0"/>
                    <w:snapToGrid w:val="0"/>
                    <w:spacing w:line="240" w:lineRule="auto"/>
                    <w:jc w:val="center"/>
                    <w:rPr>
                      <w:b/>
                      <w:bCs/>
                      <w:color w:val="auto"/>
                      <w:sz w:val="21"/>
                      <w:szCs w:val="21"/>
                    </w:rPr>
                  </w:pPr>
                  <w:r>
                    <w:rPr>
                      <w:b/>
                      <w:bCs/>
                      <w:color w:val="auto"/>
                      <w:sz w:val="21"/>
                      <w:szCs w:val="21"/>
                    </w:rPr>
                    <w:t>Ⅲ</w:t>
                  </w:r>
                </w:p>
              </w:tc>
              <w:tc>
                <w:tcPr>
                  <w:tcW w:w="579" w:type="dxa"/>
                  <w:noWrap w:val="0"/>
                  <w:vAlign w:val="center"/>
                </w:tcPr>
                <w:p>
                  <w:pPr>
                    <w:adjustRightInd w:val="0"/>
                    <w:snapToGrid w:val="0"/>
                    <w:spacing w:line="240" w:lineRule="auto"/>
                    <w:jc w:val="center"/>
                    <w:rPr>
                      <w:b/>
                      <w:bCs/>
                      <w:color w:val="auto"/>
                      <w:sz w:val="21"/>
                      <w:szCs w:val="21"/>
                    </w:rPr>
                  </w:pPr>
                  <w:r>
                    <w:rPr>
                      <w:b/>
                      <w:bCs/>
                      <w:color w:val="auto"/>
                      <w:sz w:val="21"/>
                      <w:szCs w:val="21"/>
                    </w:rPr>
                    <w:t>Ⅰ</w:t>
                  </w:r>
                </w:p>
              </w:tc>
              <w:tc>
                <w:tcPr>
                  <w:tcW w:w="581" w:type="dxa"/>
                  <w:noWrap w:val="0"/>
                  <w:vAlign w:val="center"/>
                </w:tcPr>
                <w:p>
                  <w:pPr>
                    <w:adjustRightInd w:val="0"/>
                    <w:snapToGrid w:val="0"/>
                    <w:spacing w:line="240" w:lineRule="auto"/>
                    <w:jc w:val="center"/>
                    <w:rPr>
                      <w:b/>
                      <w:bCs/>
                      <w:color w:val="auto"/>
                      <w:sz w:val="21"/>
                      <w:szCs w:val="21"/>
                    </w:rPr>
                  </w:pPr>
                  <w:r>
                    <w:rPr>
                      <w:b/>
                      <w:bCs/>
                      <w:color w:val="auto"/>
                      <w:sz w:val="21"/>
                      <w:szCs w:val="21"/>
                    </w:rPr>
                    <w:t>Ⅱ</w:t>
                  </w:r>
                </w:p>
              </w:tc>
              <w:tc>
                <w:tcPr>
                  <w:tcW w:w="581" w:type="dxa"/>
                  <w:noWrap w:val="0"/>
                  <w:vAlign w:val="center"/>
                </w:tcPr>
                <w:p>
                  <w:pPr>
                    <w:adjustRightInd w:val="0"/>
                    <w:snapToGrid w:val="0"/>
                    <w:spacing w:line="240" w:lineRule="auto"/>
                    <w:jc w:val="center"/>
                    <w:rPr>
                      <w:b/>
                      <w:bCs/>
                      <w:color w:val="auto"/>
                      <w:sz w:val="21"/>
                      <w:szCs w:val="21"/>
                    </w:rPr>
                  </w:pPr>
                  <w:r>
                    <w:rPr>
                      <w:b/>
                      <w:bCs/>
                      <w:color w:val="auto"/>
                      <w:sz w:val="21"/>
                      <w:szCs w:val="21"/>
                    </w:rPr>
                    <w:t>Ⅲ</w:t>
                  </w:r>
                </w:p>
              </w:tc>
              <w:tc>
                <w:tcPr>
                  <w:tcW w:w="580" w:type="dxa"/>
                  <w:noWrap w:val="0"/>
                  <w:vAlign w:val="center"/>
                </w:tcPr>
                <w:p>
                  <w:pPr>
                    <w:adjustRightInd w:val="0"/>
                    <w:snapToGrid w:val="0"/>
                    <w:spacing w:line="240" w:lineRule="auto"/>
                    <w:jc w:val="center"/>
                    <w:rPr>
                      <w:b/>
                      <w:bCs/>
                      <w:color w:val="auto"/>
                      <w:sz w:val="21"/>
                      <w:szCs w:val="21"/>
                    </w:rPr>
                  </w:pPr>
                  <w:r>
                    <w:rPr>
                      <w:b/>
                      <w:bCs/>
                      <w:color w:val="auto"/>
                      <w:sz w:val="21"/>
                      <w:szCs w:val="21"/>
                    </w:rPr>
                    <w:t>Ⅰ</w:t>
                  </w:r>
                </w:p>
              </w:tc>
              <w:tc>
                <w:tcPr>
                  <w:tcW w:w="579" w:type="dxa"/>
                  <w:noWrap w:val="0"/>
                  <w:vAlign w:val="center"/>
                </w:tcPr>
                <w:p>
                  <w:pPr>
                    <w:adjustRightInd w:val="0"/>
                    <w:snapToGrid w:val="0"/>
                    <w:spacing w:line="240" w:lineRule="auto"/>
                    <w:jc w:val="center"/>
                    <w:rPr>
                      <w:b/>
                      <w:bCs/>
                      <w:color w:val="auto"/>
                      <w:sz w:val="21"/>
                      <w:szCs w:val="21"/>
                    </w:rPr>
                  </w:pPr>
                  <w:r>
                    <w:rPr>
                      <w:b/>
                      <w:bCs/>
                      <w:color w:val="auto"/>
                      <w:sz w:val="21"/>
                      <w:szCs w:val="21"/>
                    </w:rPr>
                    <w:t>Ⅱ</w:t>
                  </w:r>
                </w:p>
              </w:tc>
              <w:tc>
                <w:tcPr>
                  <w:tcW w:w="592" w:type="dxa"/>
                  <w:noWrap w:val="0"/>
                  <w:vAlign w:val="center"/>
                </w:tcPr>
                <w:p>
                  <w:pPr>
                    <w:adjustRightInd w:val="0"/>
                    <w:snapToGrid w:val="0"/>
                    <w:spacing w:line="240" w:lineRule="auto"/>
                    <w:jc w:val="center"/>
                    <w:rPr>
                      <w:b/>
                      <w:bCs/>
                      <w:color w:val="auto"/>
                      <w:sz w:val="21"/>
                      <w:szCs w:val="21"/>
                    </w:rPr>
                  </w:pPr>
                  <w:r>
                    <w:rPr>
                      <w:b/>
                      <w:bCs/>
                      <w:color w:val="auto"/>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5" w:hRule="atLeast"/>
                <w:jc w:val="center"/>
              </w:trPr>
              <w:tc>
                <w:tcPr>
                  <w:tcW w:w="1029" w:type="dxa"/>
                  <w:noWrap w:val="0"/>
                  <w:vAlign w:val="center"/>
                </w:tcPr>
                <w:p>
                  <w:pPr>
                    <w:adjustRightInd w:val="0"/>
                    <w:snapToGrid w:val="0"/>
                    <w:spacing w:line="240" w:lineRule="auto"/>
                    <w:jc w:val="center"/>
                    <w:rPr>
                      <w:color w:val="auto"/>
                      <w:sz w:val="21"/>
                      <w:szCs w:val="21"/>
                    </w:rPr>
                  </w:pPr>
                  <w:r>
                    <w:rPr>
                      <w:color w:val="auto"/>
                      <w:sz w:val="21"/>
                      <w:szCs w:val="21"/>
                    </w:rPr>
                    <w:t>A</w:t>
                  </w:r>
                </w:p>
              </w:tc>
              <w:tc>
                <w:tcPr>
                  <w:tcW w:w="2260" w:type="dxa"/>
                  <w:noWrap w:val="0"/>
                  <w:vAlign w:val="center"/>
                </w:tcPr>
                <w:p>
                  <w:pPr>
                    <w:adjustRightInd w:val="0"/>
                    <w:snapToGrid w:val="0"/>
                    <w:spacing w:line="240" w:lineRule="auto"/>
                    <w:jc w:val="center"/>
                    <w:rPr>
                      <w:color w:val="auto"/>
                      <w:sz w:val="21"/>
                      <w:szCs w:val="21"/>
                    </w:rPr>
                  </w:pPr>
                  <w:r>
                    <w:rPr>
                      <w:color w:val="auto"/>
                      <w:sz w:val="21"/>
                      <w:szCs w:val="21"/>
                    </w:rPr>
                    <w:t>&lt;2</w:t>
                  </w:r>
                </w:p>
                <w:p>
                  <w:pPr>
                    <w:adjustRightInd w:val="0"/>
                    <w:snapToGrid w:val="0"/>
                    <w:spacing w:line="240" w:lineRule="auto"/>
                    <w:jc w:val="center"/>
                    <w:rPr>
                      <w:color w:val="auto"/>
                      <w:sz w:val="21"/>
                      <w:szCs w:val="21"/>
                    </w:rPr>
                  </w:pPr>
                  <w:r>
                    <w:rPr>
                      <w:color w:val="auto"/>
                      <w:sz w:val="21"/>
                      <w:szCs w:val="21"/>
                    </w:rPr>
                    <w:t>2～4</w:t>
                  </w:r>
                </w:p>
                <w:p>
                  <w:pPr>
                    <w:adjustRightInd w:val="0"/>
                    <w:snapToGrid w:val="0"/>
                    <w:spacing w:line="240" w:lineRule="auto"/>
                    <w:jc w:val="center"/>
                    <w:rPr>
                      <w:color w:val="auto"/>
                      <w:sz w:val="21"/>
                      <w:szCs w:val="21"/>
                    </w:rPr>
                  </w:pPr>
                  <w:r>
                    <w:rPr>
                      <w:color w:val="auto"/>
                      <w:sz w:val="21"/>
                      <w:szCs w:val="21"/>
                    </w:rPr>
                    <w:t>&gt;4</w:t>
                  </w:r>
                </w:p>
              </w:tc>
              <w:tc>
                <w:tcPr>
                  <w:tcW w:w="579" w:type="dxa"/>
                  <w:noWrap w:val="0"/>
                  <w:vAlign w:val="center"/>
                </w:tcPr>
                <w:p>
                  <w:pPr>
                    <w:adjustRightInd w:val="0"/>
                    <w:snapToGrid w:val="0"/>
                    <w:spacing w:line="240" w:lineRule="auto"/>
                    <w:jc w:val="center"/>
                    <w:rPr>
                      <w:color w:val="auto"/>
                      <w:sz w:val="21"/>
                      <w:szCs w:val="21"/>
                    </w:rPr>
                  </w:pPr>
                  <w:r>
                    <w:rPr>
                      <w:color w:val="auto"/>
                      <w:sz w:val="21"/>
                      <w:szCs w:val="21"/>
                    </w:rPr>
                    <w:t>400</w:t>
                  </w:r>
                </w:p>
                <w:p>
                  <w:pPr>
                    <w:adjustRightInd w:val="0"/>
                    <w:snapToGrid w:val="0"/>
                    <w:spacing w:line="240" w:lineRule="auto"/>
                    <w:jc w:val="center"/>
                    <w:rPr>
                      <w:color w:val="auto"/>
                      <w:sz w:val="21"/>
                      <w:szCs w:val="21"/>
                    </w:rPr>
                  </w:pPr>
                  <w:r>
                    <w:rPr>
                      <w:color w:val="auto"/>
                      <w:sz w:val="21"/>
                      <w:szCs w:val="21"/>
                    </w:rPr>
                    <w:t>700</w:t>
                  </w:r>
                </w:p>
                <w:p>
                  <w:pPr>
                    <w:adjustRightInd w:val="0"/>
                    <w:snapToGrid w:val="0"/>
                    <w:spacing w:line="240" w:lineRule="auto"/>
                    <w:jc w:val="center"/>
                    <w:rPr>
                      <w:color w:val="auto"/>
                      <w:sz w:val="21"/>
                      <w:szCs w:val="21"/>
                    </w:rPr>
                  </w:pPr>
                  <w:r>
                    <w:rPr>
                      <w:color w:val="auto"/>
                      <w:sz w:val="21"/>
                      <w:szCs w:val="21"/>
                    </w:rPr>
                    <w:t>530</w:t>
                  </w:r>
                </w:p>
              </w:tc>
              <w:tc>
                <w:tcPr>
                  <w:tcW w:w="580" w:type="dxa"/>
                  <w:noWrap w:val="0"/>
                  <w:vAlign w:val="center"/>
                </w:tcPr>
                <w:p>
                  <w:pPr>
                    <w:adjustRightInd w:val="0"/>
                    <w:snapToGrid w:val="0"/>
                    <w:spacing w:line="240" w:lineRule="auto"/>
                    <w:jc w:val="center"/>
                    <w:rPr>
                      <w:color w:val="auto"/>
                      <w:sz w:val="21"/>
                      <w:szCs w:val="21"/>
                    </w:rPr>
                  </w:pPr>
                  <w:r>
                    <w:rPr>
                      <w:color w:val="auto"/>
                      <w:sz w:val="21"/>
                      <w:szCs w:val="21"/>
                    </w:rPr>
                    <w:t>400</w:t>
                  </w:r>
                </w:p>
                <w:p>
                  <w:pPr>
                    <w:adjustRightInd w:val="0"/>
                    <w:snapToGrid w:val="0"/>
                    <w:spacing w:line="240" w:lineRule="auto"/>
                    <w:jc w:val="center"/>
                    <w:rPr>
                      <w:color w:val="auto"/>
                      <w:sz w:val="21"/>
                      <w:szCs w:val="21"/>
                    </w:rPr>
                  </w:pPr>
                  <w:r>
                    <w:rPr>
                      <w:color w:val="auto"/>
                      <w:sz w:val="21"/>
                      <w:szCs w:val="21"/>
                    </w:rPr>
                    <w:t>470</w:t>
                  </w:r>
                </w:p>
                <w:p>
                  <w:pPr>
                    <w:adjustRightInd w:val="0"/>
                    <w:snapToGrid w:val="0"/>
                    <w:spacing w:line="240" w:lineRule="auto"/>
                    <w:jc w:val="center"/>
                    <w:rPr>
                      <w:color w:val="auto"/>
                      <w:sz w:val="21"/>
                      <w:szCs w:val="21"/>
                    </w:rPr>
                  </w:pPr>
                  <w:r>
                    <w:rPr>
                      <w:color w:val="auto"/>
                      <w:sz w:val="21"/>
                      <w:szCs w:val="21"/>
                    </w:rPr>
                    <w:t>350</w:t>
                  </w:r>
                </w:p>
              </w:tc>
              <w:tc>
                <w:tcPr>
                  <w:tcW w:w="580" w:type="dxa"/>
                  <w:noWrap w:val="0"/>
                  <w:vAlign w:val="center"/>
                </w:tcPr>
                <w:p>
                  <w:pPr>
                    <w:adjustRightInd w:val="0"/>
                    <w:snapToGrid w:val="0"/>
                    <w:spacing w:line="240" w:lineRule="auto"/>
                    <w:jc w:val="center"/>
                    <w:rPr>
                      <w:color w:val="auto"/>
                      <w:sz w:val="21"/>
                      <w:szCs w:val="21"/>
                    </w:rPr>
                  </w:pPr>
                  <w:r>
                    <w:rPr>
                      <w:color w:val="auto"/>
                      <w:sz w:val="21"/>
                      <w:szCs w:val="21"/>
                    </w:rPr>
                    <w:t>400</w:t>
                  </w:r>
                </w:p>
                <w:p>
                  <w:pPr>
                    <w:adjustRightInd w:val="0"/>
                    <w:snapToGrid w:val="0"/>
                    <w:spacing w:line="240" w:lineRule="auto"/>
                    <w:jc w:val="center"/>
                    <w:rPr>
                      <w:color w:val="auto"/>
                      <w:sz w:val="21"/>
                      <w:szCs w:val="21"/>
                    </w:rPr>
                  </w:pPr>
                  <w:r>
                    <w:rPr>
                      <w:color w:val="auto"/>
                      <w:sz w:val="21"/>
                      <w:szCs w:val="21"/>
                    </w:rPr>
                    <w:t>350</w:t>
                  </w:r>
                </w:p>
                <w:p>
                  <w:pPr>
                    <w:adjustRightInd w:val="0"/>
                    <w:snapToGrid w:val="0"/>
                    <w:spacing w:line="240" w:lineRule="auto"/>
                    <w:jc w:val="center"/>
                    <w:rPr>
                      <w:color w:val="auto"/>
                      <w:sz w:val="21"/>
                      <w:szCs w:val="21"/>
                    </w:rPr>
                  </w:pPr>
                  <w:r>
                    <w:rPr>
                      <w:color w:val="auto"/>
                      <w:sz w:val="21"/>
                      <w:szCs w:val="21"/>
                    </w:rPr>
                    <w:t>260</w:t>
                  </w:r>
                </w:p>
              </w:tc>
              <w:tc>
                <w:tcPr>
                  <w:tcW w:w="579" w:type="dxa"/>
                  <w:noWrap w:val="0"/>
                  <w:vAlign w:val="center"/>
                </w:tcPr>
                <w:p>
                  <w:pPr>
                    <w:adjustRightInd w:val="0"/>
                    <w:snapToGrid w:val="0"/>
                    <w:spacing w:line="240" w:lineRule="auto"/>
                    <w:jc w:val="center"/>
                    <w:rPr>
                      <w:color w:val="auto"/>
                      <w:sz w:val="21"/>
                      <w:szCs w:val="21"/>
                    </w:rPr>
                  </w:pPr>
                  <w:r>
                    <w:rPr>
                      <w:color w:val="auto"/>
                      <w:sz w:val="21"/>
                      <w:szCs w:val="21"/>
                    </w:rPr>
                    <w:t>400</w:t>
                  </w:r>
                </w:p>
                <w:p>
                  <w:pPr>
                    <w:adjustRightInd w:val="0"/>
                    <w:snapToGrid w:val="0"/>
                    <w:spacing w:line="240" w:lineRule="auto"/>
                    <w:jc w:val="center"/>
                    <w:rPr>
                      <w:color w:val="auto"/>
                      <w:sz w:val="21"/>
                      <w:szCs w:val="21"/>
                    </w:rPr>
                  </w:pPr>
                  <w:r>
                    <w:rPr>
                      <w:color w:val="auto"/>
                      <w:sz w:val="21"/>
                      <w:szCs w:val="21"/>
                    </w:rPr>
                    <w:t>700</w:t>
                  </w:r>
                </w:p>
                <w:p>
                  <w:pPr>
                    <w:adjustRightInd w:val="0"/>
                    <w:snapToGrid w:val="0"/>
                    <w:spacing w:line="240" w:lineRule="auto"/>
                    <w:jc w:val="center"/>
                    <w:rPr>
                      <w:color w:val="auto"/>
                      <w:sz w:val="21"/>
                      <w:szCs w:val="21"/>
                    </w:rPr>
                  </w:pPr>
                  <w:r>
                    <w:rPr>
                      <w:color w:val="auto"/>
                      <w:sz w:val="21"/>
                      <w:szCs w:val="21"/>
                    </w:rPr>
                    <w:t>530</w:t>
                  </w:r>
                </w:p>
              </w:tc>
              <w:tc>
                <w:tcPr>
                  <w:tcW w:w="581" w:type="dxa"/>
                  <w:noWrap w:val="0"/>
                  <w:vAlign w:val="center"/>
                </w:tcPr>
                <w:p>
                  <w:pPr>
                    <w:adjustRightInd w:val="0"/>
                    <w:snapToGrid w:val="0"/>
                    <w:spacing w:line="240" w:lineRule="auto"/>
                    <w:jc w:val="center"/>
                    <w:rPr>
                      <w:color w:val="auto"/>
                      <w:sz w:val="21"/>
                      <w:szCs w:val="21"/>
                    </w:rPr>
                  </w:pPr>
                  <w:r>
                    <w:rPr>
                      <w:color w:val="auto"/>
                      <w:sz w:val="21"/>
                      <w:szCs w:val="21"/>
                    </w:rPr>
                    <w:t>400</w:t>
                  </w:r>
                </w:p>
                <w:p>
                  <w:pPr>
                    <w:adjustRightInd w:val="0"/>
                    <w:snapToGrid w:val="0"/>
                    <w:spacing w:line="240" w:lineRule="auto"/>
                    <w:jc w:val="center"/>
                    <w:rPr>
                      <w:color w:val="auto"/>
                      <w:sz w:val="21"/>
                      <w:szCs w:val="21"/>
                    </w:rPr>
                  </w:pPr>
                  <w:r>
                    <w:rPr>
                      <w:color w:val="auto"/>
                      <w:sz w:val="21"/>
                      <w:szCs w:val="21"/>
                    </w:rPr>
                    <w:t>470</w:t>
                  </w:r>
                </w:p>
                <w:p>
                  <w:pPr>
                    <w:adjustRightInd w:val="0"/>
                    <w:snapToGrid w:val="0"/>
                    <w:spacing w:line="240" w:lineRule="auto"/>
                    <w:jc w:val="center"/>
                    <w:rPr>
                      <w:color w:val="auto"/>
                      <w:sz w:val="21"/>
                      <w:szCs w:val="21"/>
                    </w:rPr>
                  </w:pPr>
                  <w:r>
                    <w:rPr>
                      <w:color w:val="auto"/>
                      <w:sz w:val="21"/>
                      <w:szCs w:val="21"/>
                    </w:rPr>
                    <w:t>350</w:t>
                  </w:r>
                </w:p>
              </w:tc>
              <w:tc>
                <w:tcPr>
                  <w:tcW w:w="581" w:type="dxa"/>
                  <w:noWrap w:val="0"/>
                  <w:vAlign w:val="center"/>
                </w:tcPr>
                <w:p>
                  <w:pPr>
                    <w:adjustRightInd w:val="0"/>
                    <w:snapToGrid w:val="0"/>
                    <w:spacing w:line="240" w:lineRule="auto"/>
                    <w:jc w:val="center"/>
                    <w:rPr>
                      <w:color w:val="auto"/>
                      <w:sz w:val="21"/>
                      <w:szCs w:val="21"/>
                    </w:rPr>
                  </w:pPr>
                  <w:r>
                    <w:rPr>
                      <w:color w:val="auto"/>
                      <w:sz w:val="21"/>
                      <w:szCs w:val="21"/>
                    </w:rPr>
                    <w:t>400</w:t>
                  </w:r>
                </w:p>
                <w:p>
                  <w:pPr>
                    <w:adjustRightInd w:val="0"/>
                    <w:snapToGrid w:val="0"/>
                    <w:spacing w:line="240" w:lineRule="auto"/>
                    <w:jc w:val="center"/>
                    <w:rPr>
                      <w:color w:val="auto"/>
                      <w:sz w:val="21"/>
                      <w:szCs w:val="21"/>
                    </w:rPr>
                  </w:pPr>
                  <w:r>
                    <w:rPr>
                      <w:color w:val="auto"/>
                      <w:sz w:val="21"/>
                      <w:szCs w:val="21"/>
                    </w:rPr>
                    <w:t>350</w:t>
                  </w:r>
                </w:p>
                <w:p>
                  <w:pPr>
                    <w:adjustRightInd w:val="0"/>
                    <w:snapToGrid w:val="0"/>
                    <w:spacing w:line="240" w:lineRule="auto"/>
                    <w:jc w:val="center"/>
                    <w:rPr>
                      <w:color w:val="auto"/>
                      <w:sz w:val="21"/>
                      <w:szCs w:val="21"/>
                    </w:rPr>
                  </w:pPr>
                  <w:r>
                    <w:rPr>
                      <w:color w:val="auto"/>
                      <w:sz w:val="21"/>
                      <w:szCs w:val="21"/>
                    </w:rPr>
                    <w:t>260</w:t>
                  </w:r>
                </w:p>
              </w:tc>
              <w:tc>
                <w:tcPr>
                  <w:tcW w:w="580" w:type="dxa"/>
                  <w:noWrap w:val="0"/>
                  <w:vAlign w:val="center"/>
                </w:tcPr>
                <w:p>
                  <w:pPr>
                    <w:adjustRightInd w:val="0"/>
                    <w:snapToGrid w:val="0"/>
                    <w:spacing w:line="240" w:lineRule="auto"/>
                    <w:jc w:val="center"/>
                    <w:rPr>
                      <w:color w:val="auto"/>
                      <w:sz w:val="21"/>
                      <w:szCs w:val="21"/>
                    </w:rPr>
                  </w:pPr>
                  <w:r>
                    <w:rPr>
                      <w:color w:val="auto"/>
                      <w:sz w:val="21"/>
                      <w:szCs w:val="21"/>
                    </w:rPr>
                    <w:t>80</w:t>
                  </w:r>
                </w:p>
                <w:p>
                  <w:pPr>
                    <w:adjustRightInd w:val="0"/>
                    <w:snapToGrid w:val="0"/>
                    <w:spacing w:line="240" w:lineRule="auto"/>
                    <w:jc w:val="center"/>
                    <w:rPr>
                      <w:color w:val="auto"/>
                      <w:sz w:val="21"/>
                      <w:szCs w:val="21"/>
                    </w:rPr>
                  </w:pPr>
                  <w:r>
                    <w:rPr>
                      <w:color w:val="auto"/>
                      <w:sz w:val="21"/>
                      <w:szCs w:val="21"/>
                    </w:rPr>
                    <w:t>380</w:t>
                  </w:r>
                </w:p>
                <w:p>
                  <w:pPr>
                    <w:adjustRightInd w:val="0"/>
                    <w:snapToGrid w:val="0"/>
                    <w:spacing w:line="240" w:lineRule="auto"/>
                    <w:jc w:val="center"/>
                    <w:rPr>
                      <w:color w:val="auto"/>
                      <w:sz w:val="21"/>
                      <w:szCs w:val="21"/>
                    </w:rPr>
                  </w:pPr>
                  <w:r>
                    <w:rPr>
                      <w:color w:val="auto"/>
                      <w:sz w:val="21"/>
                      <w:szCs w:val="21"/>
                    </w:rPr>
                    <w:t>290</w:t>
                  </w:r>
                </w:p>
              </w:tc>
              <w:tc>
                <w:tcPr>
                  <w:tcW w:w="579" w:type="dxa"/>
                  <w:noWrap w:val="0"/>
                  <w:vAlign w:val="center"/>
                </w:tcPr>
                <w:p>
                  <w:pPr>
                    <w:adjustRightInd w:val="0"/>
                    <w:snapToGrid w:val="0"/>
                    <w:spacing w:line="240" w:lineRule="auto"/>
                    <w:jc w:val="center"/>
                    <w:rPr>
                      <w:color w:val="auto"/>
                      <w:sz w:val="21"/>
                      <w:szCs w:val="21"/>
                    </w:rPr>
                  </w:pPr>
                  <w:r>
                    <w:rPr>
                      <w:color w:val="auto"/>
                      <w:sz w:val="21"/>
                      <w:szCs w:val="21"/>
                    </w:rPr>
                    <w:t>80</w:t>
                  </w:r>
                </w:p>
                <w:p>
                  <w:pPr>
                    <w:adjustRightInd w:val="0"/>
                    <w:snapToGrid w:val="0"/>
                    <w:spacing w:line="240" w:lineRule="auto"/>
                    <w:jc w:val="center"/>
                    <w:rPr>
                      <w:color w:val="auto"/>
                      <w:sz w:val="21"/>
                      <w:szCs w:val="21"/>
                    </w:rPr>
                  </w:pPr>
                  <w:r>
                    <w:rPr>
                      <w:color w:val="auto"/>
                      <w:sz w:val="21"/>
                      <w:szCs w:val="21"/>
                    </w:rPr>
                    <w:t>250</w:t>
                  </w:r>
                </w:p>
                <w:p>
                  <w:pPr>
                    <w:adjustRightInd w:val="0"/>
                    <w:snapToGrid w:val="0"/>
                    <w:spacing w:line="240" w:lineRule="auto"/>
                    <w:jc w:val="center"/>
                    <w:rPr>
                      <w:color w:val="auto"/>
                      <w:sz w:val="21"/>
                      <w:szCs w:val="21"/>
                    </w:rPr>
                  </w:pPr>
                  <w:r>
                    <w:rPr>
                      <w:color w:val="auto"/>
                      <w:sz w:val="21"/>
                      <w:szCs w:val="21"/>
                    </w:rPr>
                    <w:t>190</w:t>
                  </w:r>
                </w:p>
              </w:tc>
              <w:tc>
                <w:tcPr>
                  <w:tcW w:w="592" w:type="dxa"/>
                  <w:noWrap w:val="0"/>
                  <w:vAlign w:val="center"/>
                </w:tcPr>
                <w:p>
                  <w:pPr>
                    <w:adjustRightInd w:val="0"/>
                    <w:snapToGrid w:val="0"/>
                    <w:spacing w:line="240" w:lineRule="auto"/>
                    <w:jc w:val="center"/>
                    <w:rPr>
                      <w:color w:val="auto"/>
                      <w:sz w:val="21"/>
                      <w:szCs w:val="21"/>
                    </w:rPr>
                  </w:pPr>
                  <w:r>
                    <w:rPr>
                      <w:color w:val="auto"/>
                      <w:sz w:val="21"/>
                      <w:szCs w:val="21"/>
                    </w:rPr>
                    <w:t>80</w:t>
                  </w:r>
                </w:p>
                <w:p>
                  <w:pPr>
                    <w:adjustRightInd w:val="0"/>
                    <w:snapToGrid w:val="0"/>
                    <w:spacing w:line="240" w:lineRule="auto"/>
                    <w:jc w:val="center"/>
                    <w:rPr>
                      <w:color w:val="auto"/>
                      <w:sz w:val="21"/>
                      <w:szCs w:val="21"/>
                    </w:rPr>
                  </w:pPr>
                  <w:r>
                    <w:rPr>
                      <w:color w:val="auto"/>
                      <w:sz w:val="21"/>
                      <w:szCs w:val="21"/>
                    </w:rPr>
                    <w:t>190</w:t>
                  </w:r>
                </w:p>
                <w:p>
                  <w:pPr>
                    <w:adjustRightInd w:val="0"/>
                    <w:snapToGrid w:val="0"/>
                    <w:spacing w:line="240" w:lineRule="auto"/>
                    <w:jc w:val="center"/>
                    <w:rPr>
                      <w:color w:val="auto"/>
                      <w:sz w:val="21"/>
                      <w:szCs w:val="21"/>
                    </w:rPr>
                  </w:pPr>
                  <w:r>
                    <w:rPr>
                      <w:color w:val="auto"/>
                      <w:sz w:val="21"/>
                      <w:szCs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6" w:hRule="atLeast"/>
                <w:jc w:val="center"/>
              </w:trPr>
              <w:tc>
                <w:tcPr>
                  <w:tcW w:w="1029" w:type="dxa"/>
                  <w:noWrap w:val="0"/>
                  <w:vAlign w:val="center"/>
                </w:tcPr>
                <w:p>
                  <w:pPr>
                    <w:adjustRightInd w:val="0"/>
                    <w:snapToGrid w:val="0"/>
                    <w:spacing w:line="240" w:lineRule="auto"/>
                    <w:jc w:val="center"/>
                    <w:rPr>
                      <w:color w:val="auto"/>
                      <w:sz w:val="21"/>
                      <w:szCs w:val="21"/>
                    </w:rPr>
                  </w:pPr>
                  <w:r>
                    <w:rPr>
                      <w:color w:val="auto"/>
                      <w:sz w:val="21"/>
                      <w:szCs w:val="21"/>
                    </w:rPr>
                    <w:t>B</w:t>
                  </w:r>
                </w:p>
              </w:tc>
              <w:tc>
                <w:tcPr>
                  <w:tcW w:w="2260" w:type="dxa"/>
                  <w:noWrap w:val="0"/>
                  <w:vAlign w:val="center"/>
                </w:tcPr>
                <w:p>
                  <w:pPr>
                    <w:adjustRightInd w:val="0"/>
                    <w:snapToGrid w:val="0"/>
                    <w:spacing w:line="240" w:lineRule="auto"/>
                    <w:jc w:val="center"/>
                    <w:rPr>
                      <w:color w:val="auto"/>
                      <w:sz w:val="21"/>
                      <w:szCs w:val="21"/>
                    </w:rPr>
                  </w:pPr>
                  <w:r>
                    <w:rPr>
                      <w:color w:val="auto"/>
                      <w:sz w:val="21"/>
                      <w:szCs w:val="21"/>
                    </w:rPr>
                    <w:t>&lt;2</w:t>
                  </w:r>
                </w:p>
                <w:p>
                  <w:pPr>
                    <w:adjustRightInd w:val="0"/>
                    <w:snapToGrid w:val="0"/>
                    <w:spacing w:line="240" w:lineRule="auto"/>
                    <w:jc w:val="center"/>
                    <w:rPr>
                      <w:color w:val="auto"/>
                      <w:sz w:val="21"/>
                      <w:szCs w:val="21"/>
                    </w:rPr>
                  </w:pPr>
                  <w:r>
                    <w:rPr>
                      <w:color w:val="auto"/>
                      <w:sz w:val="21"/>
                      <w:szCs w:val="21"/>
                    </w:rPr>
                    <w:t>&gt;2</w:t>
                  </w:r>
                </w:p>
              </w:tc>
              <w:tc>
                <w:tcPr>
                  <w:tcW w:w="1739" w:type="dxa"/>
                  <w:gridSpan w:val="3"/>
                  <w:noWrap w:val="0"/>
                  <w:vAlign w:val="center"/>
                </w:tcPr>
                <w:p>
                  <w:pPr>
                    <w:adjustRightInd w:val="0"/>
                    <w:snapToGrid w:val="0"/>
                    <w:spacing w:line="240" w:lineRule="auto"/>
                    <w:jc w:val="center"/>
                    <w:rPr>
                      <w:color w:val="auto"/>
                      <w:sz w:val="21"/>
                      <w:szCs w:val="21"/>
                    </w:rPr>
                  </w:pPr>
                  <w:r>
                    <w:rPr>
                      <w:color w:val="auto"/>
                      <w:sz w:val="21"/>
                      <w:szCs w:val="21"/>
                    </w:rPr>
                    <w:t>0.01</w:t>
                  </w:r>
                </w:p>
                <w:p>
                  <w:pPr>
                    <w:adjustRightInd w:val="0"/>
                    <w:snapToGrid w:val="0"/>
                    <w:spacing w:line="240" w:lineRule="auto"/>
                    <w:jc w:val="center"/>
                    <w:rPr>
                      <w:color w:val="auto"/>
                      <w:sz w:val="21"/>
                      <w:szCs w:val="21"/>
                    </w:rPr>
                  </w:pPr>
                  <w:r>
                    <w:rPr>
                      <w:color w:val="auto"/>
                      <w:sz w:val="21"/>
                      <w:szCs w:val="21"/>
                    </w:rPr>
                    <w:t>0.021</w:t>
                  </w:r>
                </w:p>
              </w:tc>
              <w:tc>
                <w:tcPr>
                  <w:tcW w:w="1741" w:type="dxa"/>
                  <w:gridSpan w:val="3"/>
                  <w:noWrap w:val="0"/>
                  <w:vAlign w:val="center"/>
                </w:tcPr>
                <w:p>
                  <w:pPr>
                    <w:adjustRightInd w:val="0"/>
                    <w:snapToGrid w:val="0"/>
                    <w:spacing w:line="240" w:lineRule="auto"/>
                    <w:jc w:val="center"/>
                    <w:rPr>
                      <w:color w:val="auto"/>
                      <w:sz w:val="21"/>
                      <w:szCs w:val="21"/>
                    </w:rPr>
                  </w:pPr>
                  <w:r>
                    <w:rPr>
                      <w:color w:val="auto"/>
                      <w:sz w:val="21"/>
                      <w:szCs w:val="21"/>
                    </w:rPr>
                    <w:t>0.015</w:t>
                  </w:r>
                </w:p>
                <w:p>
                  <w:pPr>
                    <w:adjustRightInd w:val="0"/>
                    <w:snapToGrid w:val="0"/>
                    <w:spacing w:line="240" w:lineRule="auto"/>
                    <w:jc w:val="center"/>
                    <w:rPr>
                      <w:color w:val="auto"/>
                      <w:sz w:val="21"/>
                      <w:szCs w:val="21"/>
                    </w:rPr>
                  </w:pPr>
                  <w:r>
                    <w:rPr>
                      <w:color w:val="auto"/>
                      <w:sz w:val="21"/>
                      <w:szCs w:val="21"/>
                    </w:rPr>
                    <w:t>0.036</w:t>
                  </w:r>
                </w:p>
              </w:tc>
              <w:tc>
                <w:tcPr>
                  <w:tcW w:w="1751" w:type="dxa"/>
                  <w:gridSpan w:val="3"/>
                  <w:noWrap w:val="0"/>
                  <w:vAlign w:val="center"/>
                </w:tcPr>
                <w:p>
                  <w:pPr>
                    <w:adjustRightInd w:val="0"/>
                    <w:snapToGrid w:val="0"/>
                    <w:spacing w:line="240" w:lineRule="auto"/>
                    <w:jc w:val="center"/>
                    <w:rPr>
                      <w:color w:val="auto"/>
                      <w:sz w:val="21"/>
                      <w:szCs w:val="21"/>
                    </w:rPr>
                  </w:pPr>
                  <w:r>
                    <w:rPr>
                      <w:color w:val="auto"/>
                      <w:sz w:val="21"/>
                      <w:szCs w:val="21"/>
                    </w:rPr>
                    <w:t>0.015</w:t>
                  </w:r>
                </w:p>
                <w:p>
                  <w:pPr>
                    <w:adjustRightInd w:val="0"/>
                    <w:snapToGrid w:val="0"/>
                    <w:spacing w:line="240" w:lineRule="auto"/>
                    <w:jc w:val="center"/>
                    <w:rPr>
                      <w:color w:val="auto"/>
                      <w:sz w:val="21"/>
                      <w:szCs w:val="21"/>
                    </w:rPr>
                  </w:pPr>
                  <w:r>
                    <w:rPr>
                      <w:color w:val="auto"/>
                      <w:sz w:val="21"/>
                      <w:szCs w:val="21"/>
                    </w:rPr>
                    <w:t>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6" w:hRule="atLeast"/>
                <w:jc w:val="center"/>
              </w:trPr>
              <w:tc>
                <w:tcPr>
                  <w:tcW w:w="1029" w:type="dxa"/>
                  <w:noWrap w:val="0"/>
                  <w:vAlign w:val="center"/>
                </w:tcPr>
                <w:p>
                  <w:pPr>
                    <w:adjustRightInd w:val="0"/>
                    <w:snapToGrid w:val="0"/>
                    <w:spacing w:line="240" w:lineRule="auto"/>
                    <w:jc w:val="center"/>
                    <w:rPr>
                      <w:color w:val="auto"/>
                      <w:sz w:val="21"/>
                      <w:szCs w:val="21"/>
                    </w:rPr>
                  </w:pPr>
                  <w:r>
                    <w:rPr>
                      <w:color w:val="auto"/>
                      <w:sz w:val="21"/>
                      <w:szCs w:val="21"/>
                    </w:rPr>
                    <w:t>C</w:t>
                  </w:r>
                </w:p>
              </w:tc>
              <w:tc>
                <w:tcPr>
                  <w:tcW w:w="2260" w:type="dxa"/>
                  <w:noWrap w:val="0"/>
                  <w:vAlign w:val="center"/>
                </w:tcPr>
                <w:p>
                  <w:pPr>
                    <w:adjustRightInd w:val="0"/>
                    <w:snapToGrid w:val="0"/>
                    <w:spacing w:line="240" w:lineRule="auto"/>
                    <w:jc w:val="center"/>
                    <w:rPr>
                      <w:color w:val="auto"/>
                      <w:sz w:val="21"/>
                      <w:szCs w:val="21"/>
                    </w:rPr>
                  </w:pPr>
                  <w:r>
                    <w:rPr>
                      <w:color w:val="auto"/>
                      <w:sz w:val="21"/>
                      <w:szCs w:val="21"/>
                    </w:rPr>
                    <w:t>&lt;2</w:t>
                  </w:r>
                </w:p>
                <w:p>
                  <w:pPr>
                    <w:adjustRightInd w:val="0"/>
                    <w:snapToGrid w:val="0"/>
                    <w:spacing w:line="240" w:lineRule="auto"/>
                    <w:jc w:val="center"/>
                    <w:rPr>
                      <w:color w:val="auto"/>
                      <w:sz w:val="21"/>
                      <w:szCs w:val="21"/>
                    </w:rPr>
                  </w:pPr>
                  <w:r>
                    <w:rPr>
                      <w:color w:val="auto"/>
                      <w:sz w:val="21"/>
                      <w:szCs w:val="21"/>
                    </w:rPr>
                    <w:t>&gt;2</w:t>
                  </w:r>
                </w:p>
              </w:tc>
              <w:tc>
                <w:tcPr>
                  <w:tcW w:w="1739" w:type="dxa"/>
                  <w:gridSpan w:val="3"/>
                  <w:noWrap w:val="0"/>
                  <w:vAlign w:val="center"/>
                </w:tcPr>
                <w:p>
                  <w:pPr>
                    <w:adjustRightInd w:val="0"/>
                    <w:snapToGrid w:val="0"/>
                    <w:spacing w:line="240" w:lineRule="auto"/>
                    <w:jc w:val="center"/>
                    <w:rPr>
                      <w:color w:val="auto"/>
                      <w:sz w:val="21"/>
                      <w:szCs w:val="21"/>
                    </w:rPr>
                  </w:pPr>
                  <w:r>
                    <w:rPr>
                      <w:color w:val="auto"/>
                      <w:sz w:val="21"/>
                      <w:szCs w:val="21"/>
                    </w:rPr>
                    <w:t>1.85</w:t>
                  </w:r>
                </w:p>
                <w:p>
                  <w:pPr>
                    <w:adjustRightInd w:val="0"/>
                    <w:snapToGrid w:val="0"/>
                    <w:spacing w:line="240" w:lineRule="auto"/>
                    <w:jc w:val="center"/>
                    <w:rPr>
                      <w:color w:val="auto"/>
                      <w:sz w:val="21"/>
                      <w:szCs w:val="21"/>
                    </w:rPr>
                  </w:pPr>
                  <w:r>
                    <w:rPr>
                      <w:color w:val="auto"/>
                      <w:sz w:val="21"/>
                      <w:szCs w:val="21"/>
                    </w:rPr>
                    <w:t>1.85</w:t>
                  </w:r>
                </w:p>
              </w:tc>
              <w:tc>
                <w:tcPr>
                  <w:tcW w:w="1741" w:type="dxa"/>
                  <w:gridSpan w:val="3"/>
                  <w:noWrap w:val="0"/>
                  <w:vAlign w:val="center"/>
                </w:tcPr>
                <w:p>
                  <w:pPr>
                    <w:adjustRightInd w:val="0"/>
                    <w:snapToGrid w:val="0"/>
                    <w:spacing w:line="240" w:lineRule="auto"/>
                    <w:jc w:val="center"/>
                    <w:rPr>
                      <w:color w:val="auto"/>
                      <w:sz w:val="21"/>
                      <w:szCs w:val="21"/>
                    </w:rPr>
                  </w:pPr>
                  <w:r>
                    <w:rPr>
                      <w:color w:val="auto"/>
                      <w:sz w:val="21"/>
                      <w:szCs w:val="21"/>
                    </w:rPr>
                    <w:t>1.79</w:t>
                  </w:r>
                </w:p>
                <w:p>
                  <w:pPr>
                    <w:adjustRightInd w:val="0"/>
                    <w:snapToGrid w:val="0"/>
                    <w:spacing w:line="240" w:lineRule="auto"/>
                    <w:jc w:val="center"/>
                    <w:rPr>
                      <w:color w:val="auto"/>
                      <w:sz w:val="21"/>
                      <w:szCs w:val="21"/>
                    </w:rPr>
                  </w:pPr>
                  <w:r>
                    <w:rPr>
                      <w:color w:val="auto"/>
                      <w:sz w:val="21"/>
                      <w:szCs w:val="21"/>
                    </w:rPr>
                    <w:t>1.77</w:t>
                  </w:r>
                </w:p>
              </w:tc>
              <w:tc>
                <w:tcPr>
                  <w:tcW w:w="1751" w:type="dxa"/>
                  <w:gridSpan w:val="3"/>
                  <w:noWrap w:val="0"/>
                  <w:vAlign w:val="center"/>
                </w:tcPr>
                <w:p>
                  <w:pPr>
                    <w:adjustRightInd w:val="0"/>
                    <w:snapToGrid w:val="0"/>
                    <w:spacing w:line="240" w:lineRule="auto"/>
                    <w:jc w:val="center"/>
                    <w:rPr>
                      <w:color w:val="auto"/>
                      <w:sz w:val="21"/>
                      <w:szCs w:val="21"/>
                    </w:rPr>
                  </w:pPr>
                  <w:r>
                    <w:rPr>
                      <w:color w:val="auto"/>
                      <w:sz w:val="21"/>
                      <w:szCs w:val="21"/>
                    </w:rPr>
                    <w:t>1.79</w:t>
                  </w:r>
                </w:p>
                <w:p>
                  <w:pPr>
                    <w:adjustRightInd w:val="0"/>
                    <w:snapToGrid w:val="0"/>
                    <w:spacing w:line="240" w:lineRule="auto"/>
                    <w:jc w:val="center"/>
                    <w:rPr>
                      <w:color w:val="auto"/>
                      <w:sz w:val="21"/>
                      <w:szCs w:val="21"/>
                    </w:rPr>
                  </w:pPr>
                  <w:r>
                    <w:rPr>
                      <w:color w:val="auto"/>
                      <w:sz w:val="21"/>
                      <w:szCs w:val="21"/>
                    </w:rPr>
                    <w:t>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jc w:val="center"/>
              </w:trPr>
              <w:tc>
                <w:tcPr>
                  <w:tcW w:w="1029" w:type="dxa"/>
                  <w:noWrap w:val="0"/>
                  <w:vAlign w:val="center"/>
                </w:tcPr>
                <w:p>
                  <w:pPr>
                    <w:adjustRightInd w:val="0"/>
                    <w:snapToGrid w:val="0"/>
                    <w:spacing w:line="240" w:lineRule="auto"/>
                    <w:jc w:val="center"/>
                    <w:rPr>
                      <w:color w:val="auto"/>
                      <w:sz w:val="21"/>
                      <w:szCs w:val="21"/>
                    </w:rPr>
                  </w:pPr>
                  <w:r>
                    <w:rPr>
                      <w:color w:val="auto"/>
                      <w:sz w:val="21"/>
                      <w:szCs w:val="21"/>
                    </w:rPr>
                    <w:t>D</w:t>
                  </w:r>
                </w:p>
              </w:tc>
              <w:tc>
                <w:tcPr>
                  <w:tcW w:w="2260" w:type="dxa"/>
                  <w:noWrap w:val="0"/>
                  <w:vAlign w:val="center"/>
                </w:tcPr>
                <w:p>
                  <w:pPr>
                    <w:adjustRightInd w:val="0"/>
                    <w:snapToGrid w:val="0"/>
                    <w:spacing w:line="240" w:lineRule="auto"/>
                    <w:jc w:val="center"/>
                    <w:rPr>
                      <w:color w:val="auto"/>
                      <w:sz w:val="21"/>
                      <w:szCs w:val="21"/>
                    </w:rPr>
                  </w:pPr>
                  <w:r>
                    <w:rPr>
                      <w:color w:val="auto"/>
                      <w:sz w:val="21"/>
                      <w:szCs w:val="21"/>
                    </w:rPr>
                    <w:t>&lt;2</w:t>
                  </w:r>
                </w:p>
                <w:p>
                  <w:pPr>
                    <w:adjustRightInd w:val="0"/>
                    <w:snapToGrid w:val="0"/>
                    <w:spacing w:line="240" w:lineRule="auto"/>
                    <w:jc w:val="center"/>
                    <w:rPr>
                      <w:color w:val="auto"/>
                      <w:sz w:val="21"/>
                      <w:szCs w:val="21"/>
                    </w:rPr>
                  </w:pPr>
                  <w:r>
                    <w:rPr>
                      <w:color w:val="auto"/>
                      <w:sz w:val="21"/>
                      <w:szCs w:val="21"/>
                    </w:rPr>
                    <w:t>&gt;2</w:t>
                  </w:r>
                </w:p>
              </w:tc>
              <w:tc>
                <w:tcPr>
                  <w:tcW w:w="1739" w:type="dxa"/>
                  <w:gridSpan w:val="3"/>
                  <w:noWrap w:val="0"/>
                  <w:vAlign w:val="center"/>
                </w:tcPr>
                <w:p>
                  <w:pPr>
                    <w:adjustRightInd w:val="0"/>
                    <w:snapToGrid w:val="0"/>
                    <w:spacing w:line="240" w:lineRule="auto"/>
                    <w:jc w:val="center"/>
                    <w:rPr>
                      <w:color w:val="auto"/>
                      <w:sz w:val="21"/>
                      <w:szCs w:val="21"/>
                    </w:rPr>
                  </w:pPr>
                  <w:r>
                    <w:rPr>
                      <w:color w:val="auto"/>
                      <w:sz w:val="21"/>
                      <w:szCs w:val="21"/>
                    </w:rPr>
                    <w:t>0.78</w:t>
                  </w:r>
                </w:p>
                <w:p>
                  <w:pPr>
                    <w:adjustRightInd w:val="0"/>
                    <w:snapToGrid w:val="0"/>
                    <w:spacing w:line="240" w:lineRule="auto"/>
                    <w:jc w:val="center"/>
                    <w:rPr>
                      <w:color w:val="auto"/>
                      <w:sz w:val="21"/>
                      <w:szCs w:val="21"/>
                    </w:rPr>
                  </w:pPr>
                  <w:r>
                    <w:rPr>
                      <w:color w:val="auto"/>
                      <w:sz w:val="21"/>
                      <w:szCs w:val="21"/>
                    </w:rPr>
                    <w:t>0.84</w:t>
                  </w:r>
                </w:p>
              </w:tc>
              <w:tc>
                <w:tcPr>
                  <w:tcW w:w="1741" w:type="dxa"/>
                  <w:gridSpan w:val="3"/>
                  <w:noWrap w:val="0"/>
                  <w:vAlign w:val="center"/>
                </w:tcPr>
                <w:p>
                  <w:pPr>
                    <w:adjustRightInd w:val="0"/>
                    <w:snapToGrid w:val="0"/>
                    <w:spacing w:line="240" w:lineRule="auto"/>
                    <w:jc w:val="center"/>
                    <w:rPr>
                      <w:color w:val="auto"/>
                      <w:sz w:val="21"/>
                      <w:szCs w:val="21"/>
                    </w:rPr>
                  </w:pPr>
                  <w:r>
                    <w:rPr>
                      <w:color w:val="auto"/>
                      <w:sz w:val="21"/>
                      <w:szCs w:val="21"/>
                    </w:rPr>
                    <w:t>0.78</w:t>
                  </w:r>
                </w:p>
                <w:p>
                  <w:pPr>
                    <w:adjustRightInd w:val="0"/>
                    <w:snapToGrid w:val="0"/>
                    <w:spacing w:line="240" w:lineRule="auto"/>
                    <w:jc w:val="center"/>
                    <w:rPr>
                      <w:color w:val="auto"/>
                      <w:sz w:val="21"/>
                      <w:szCs w:val="21"/>
                    </w:rPr>
                  </w:pPr>
                  <w:r>
                    <w:rPr>
                      <w:color w:val="auto"/>
                      <w:sz w:val="21"/>
                      <w:szCs w:val="21"/>
                    </w:rPr>
                    <w:t>0.84</w:t>
                  </w:r>
                </w:p>
              </w:tc>
              <w:tc>
                <w:tcPr>
                  <w:tcW w:w="1751" w:type="dxa"/>
                  <w:gridSpan w:val="3"/>
                  <w:noWrap w:val="0"/>
                  <w:vAlign w:val="center"/>
                </w:tcPr>
                <w:p>
                  <w:pPr>
                    <w:adjustRightInd w:val="0"/>
                    <w:snapToGrid w:val="0"/>
                    <w:spacing w:line="240" w:lineRule="auto"/>
                    <w:jc w:val="center"/>
                    <w:rPr>
                      <w:color w:val="auto"/>
                      <w:sz w:val="21"/>
                      <w:szCs w:val="21"/>
                    </w:rPr>
                  </w:pPr>
                  <w:r>
                    <w:rPr>
                      <w:color w:val="auto"/>
                      <w:sz w:val="21"/>
                      <w:szCs w:val="21"/>
                    </w:rPr>
                    <w:t>0.57</w:t>
                  </w:r>
                </w:p>
                <w:p>
                  <w:pPr>
                    <w:adjustRightInd w:val="0"/>
                    <w:snapToGrid w:val="0"/>
                    <w:spacing w:line="240" w:lineRule="auto"/>
                    <w:jc w:val="center"/>
                    <w:rPr>
                      <w:color w:val="auto"/>
                      <w:sz w:val="21"/>
                      <w:szCs w:val="21"/>
                    </w:rPr>
                  </w:pPr>
                  <w:r>
                    <w:rPr>
                      <w:color w:val="auto"/>
                      <w:sz w:val="21"/>
                      <w:szCs w:val="21"/>
                    </w:rPr>
                    <w:t>0.76</w:t>
                  </w:r>
                </w:p>
              </w:tc>
            </w:tr>
          </w:tbl>
          <w:p>
            <w:pPr>
              <w:spacing w:line="360" w:lineRule="auto"/>
              <w:ind w:firstLine="411" w:firstLineChars="196"/>
              <w:rPr>
                <w:color w:val="auto"/>
                <w:szCs w:val="24"/>
              </w:rPr>
            </w:pPr>
            <w:r>
              <w:rPr>
                <w:color w:val="auto"/>
                <w:szCs w:val="24"/>
              </w:rPr>
              <w:t xml:space="preserve">注：工业企业大气污染源构成份为三类： </w:t>
            </w:r>
          </w:p>
          <w:p>
            <w:pPr>
              <w:spacing w:line="360" w:lineRule="auto"/>
              <w:ind w:firstLine="420" w:firstLineChars="200"/>
              <w:rPr>
                <w:color w:val="auto"/>
                <w:szCs w:val="24"/>
              </w:rPr>
            </w:pPr>
            <w:r>
              <w:rPr>
                <w:color w:val="auto"/>
                <w:szCs w:val="24"/>
              </w:rPr>
              <w:t xml:space="preserve">Ⅰ类：与无组织排放源共存的排放同种有害气体的排气筒的排放量，大于标准规定的允许排放量的三分之一者。 </w:t>
            </w:r>
          </w:p>
          <w:p>
            <w:pPr>
              <w:spacing w:line="360" w:lineRule="auto"/>
              <w:ind w:firstLine="420" w:firstLineChars="200"/>
              <w:rPr>
                <w:color w:val="auto"/>
                <w:szCs w:val="24"/>
              </w:rPr>
            </w:pPr>
            <w:r>
              <w:rPr>
                <w:color w:val="auto"/>
                <w:szCs w:val="24"/>
              </w:rPr>
              <w:t xml:space="preserve">Ⅱ类：与无组织排放源共存的排放同种有害气体的排气筒的排放量，小于标准规定的允许排放量的三分之一，或虽无排放同种大气污染物之排气筒共存，但无组织排放的有害物质的容许浓度指标是按急性反应指标确定者。 </w:t>
            </w:r>
          </w:p>
          <w:p>
            <w:pPr>
              <w:spacing w:line="360" w:lineRule="auto"/>
              <w:ind w:firstLine="420" w:firstLineChars="200"/>
              <w:rPr>
                <w:color w:val="auto"/>
                <w:szCs w:val="24"/>
              </w:rPr>
            </w:pPr>
            <w:r>
              <w:rPr>
                <w:color w:val="auto"/>
                <w:szCs w:val="24"/>
              </w:rPr>
              <w:t>Ⅲ类：无排放同种有害物质的排气筒与无组织排放源共存，且无组织排放的有害物质的容许浓度是按慢性反应指标确定者。</w:t>
            </w:r>
          </w:p>
          <w:p>
            <w:pPr>
              <w:spacing w:line="360" w:lineRule="auto"/>
              <w:ind w:firstLine="480" w:firstLineChars="200"/>
              <w:rPr>
                <w:color w:val="FF0000"/>
                <w:sz w:val="24"/>
                <w:szCs w:val="32"/>
              </w:rPr>
            </w:pPr>
            <w:r>
              <w:rPr>
                <w:color w:val="FF0000"/>
                <w:sz w:val="24"/>
                <w:szCs w:val="32"/>
              </w:rPr>
              <w:t>根据公式方法计算，其计算结果如下表所示。</w:t>
            </w:r>
          </w:p>
          <w:p>
            <w:pPr>
              <w:pStyle w:val="8"/>
              <w:keepNext w:val="0"/>
              <w:keepLines w:val="0"/>
              <w:pageBreakBefore w:val="0"/>
              <w:widowControl w:val="0"/>
              <w:tabs>
                <w:tab w:val="left" w:pos="375"/>
              </w:tabs>
              <w:kinsoku/>
              <w:wordWrap/>
              <w:overflowPunct/>
              <w:topLinePunct w:val="0"/>
              <w:autoSpaceDE/>
              <w:autoSpaceDN/>
              <w:bidi w:val="0"/>
              <w:adjustRightInd w:val="0"/>
              <w:snapToGrid w:val="0"/>
              <w:spacing w:before="157" w:beforeLines="50"/>
              <w:ind w:left="0" w:leftChars="0" w:firstLine="0" w:firstLineChars="0"/>
              <w:jc w:val="center"/>
              <w:textAlignment w:val="auto"/>
              <w:rPr>
                <w:b/>
                <w:color w:val="FF0000"/>
                <w:sz w:val="21"/>
                <w:szCs w:val="21"/>
              </w:rPr>
            </w:pPr>
            <w:r>
              <w:rPr>
                <w:b/>
                <w:color w:val="FF0000"/>
                <w:sz w:val="21"/>
                <w:szCs w:val="21"/>
              </w:rPr>
              <w:t>表</w:t>
            </w:r>
            <w:r>
              <w:rPr>
                <w:rFonts w:hint="eastAsia"/>
                <w:b/>
                <w:color w:val="FF0000"/>
                <w:sz w:val="21"/>
                <w:szCs w:val="21"/>
                <w:lang w:val="en-US" w:eastAsia="zh-CN"/>
              </w:rPr>
              <w:t>7-18</w:t>
            </w:r>
            <w:r>
              <w:rPr>
                <w:b/>
                <w:color w:val="FF0000"/>
                <w:sz w:val="21"/>
                <w:szCs w:val="21"/>
              </w:rPr>
              <w:t xml:space="preserve">  卫生防护距离采用参数及计算结果</w:t>
            </w:r>
          </w:p>
          <w:tbl>
            <w:tblPr>
              <w:tblStyle w:val="15"/>
              <w:tblW w:w="905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7"/>
              <w:gridCol w:w="1110"/>
              <w:gridCol w:w="1608"/>
              <w:gridCol w:w="1066"/>
              <w:gridCol w:w="1153"/>
              <w:gridCol w:w="1276"/>
              <w:gridCol w:w="1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771" w:hRule="atLeast"/>
                <w:jc w:val="center"/>
              </w:trPr>
              <w:tc>
                <w:tcPr>
                  <w:tcW w:w="1377" w:type="dxa"/>
                  <w:noWrap w:val="0"/>
                  <w:vAlign w:val="center"/>
                </w:tcPr>
                <w:p>
                  <w:pPr>
                    <w:adjustRightInd w:val="0"/>
                    <w:snapToGrid w:val="0"/>
                    <w:spacing w:line="240" w:lineRule="auto"/>
                    <w:jc w:val="center"/>
                    <w:rPr>
                      <w:color w:val="FF0000"/>
                      <w:sz w:val="21"/>
                      <w:szCs w:val="21"/>
                    </w:rPr>
                  </w:pPr>
                  <w:r>
                    <w:rPr>
                      <w:color w:val="FF0000"/>
                      <w:sz w:val="21"/>
                      <w:szCs w:val="21"/>
                    </w:rPr>
                    <w:t>污染物</w:t>
                  </w:r>
                </w:p>
              </w:tc>
              <w:tc>
                <w:tcPr>
                  <w:tcW w:w="1110" w:type="dxa"/>
                  <w:noWrap w:val="0"/>
                  <w:vAlign w:val="center"/>
                </w:tcPr>
                <w:p>
                  <w:pPr>
                    <w:adjustRightInd w:val="0"/>
                    <w:snapToGrid w:val="0"/>
                    <w:spacing w:line="240" w:lineRule="auto"/>
                    <w:jc w:val="center"/>
                    <w:rPr>
                      <w:color w:val="FF0000"/>
                      <w:sz w:val="21"/>
                      <w:szCs w:val="21"/>
                    </w:rPr>
                  </w:pPr>
                  <w:r>
                    <w:rPr>
                      <w:color w:val="FF0000"/>
                      <w:sz w:val="21"/>
                      <w:szCs w:val="21"/>
                    </w:rPr>
                    <w:t>源强（kg/h）</w:t>
                  </w:r>
                </w:p>
              </w:tc>
              <w:tc>
                <w:tcPr>
                  <w:tcW w:w="1608" w:type="dxa"/>
                  <w:noWrap w:val="0"/>
                  <w:vAlign w:val="center"/>
                </w:tcPr>
                <w:p>
                  <w:pPr>
                    <w:adjustRightInd w:val="0"/>
                    <w:snapToGrid w:val="0"/>
                    <w:spacing w:line="240" w:lineRule="auto"/>
                    <w:jc w:val="center"/>
                    <w:rPr>
                      <w:color w:val="FF0000"/>
                      <w:sz w:val="21"/>
                      <w:szCs w:val="21"/>
                    </w:rPr>
                  </w:pPr>
                  <w:r>
                    <w:rPr>
                      <w:color w:val="FF0000"/>
                      <w:sz w:val="21"/>
                      <w:szCs w:val="21"/>
                    </w:rPr>
                    <w:t>标准浓度限值（mg/m</w:t>
                  </w:r>
                  <w:r>
                    <w:rPr>
                      <w:color w:val="FF0000"/>
                      <w:sz w:val="21"/>
                      <w:szCs w:val="21"/>
                      <w:vertAlign w:val="superscript"/>
                    </w:rPr>
                    <w:t>3</w:t>
                  </w:r>
                  <w:r>
                    <w:rPr>
                      <w:color w:val="FF0000"/>
                      <w:sz w:val="21"/>
                      <w:szCs w:val="21"/>
                    </w:rPr>
                    <w:t>）</w:t>
                  </w:r>
                </w:p>
              </w:tc>
              <w:tc>
                <w:tcPr>
                  <w:tcW w:w="1066" w:type="dxa"/>
                  <w:noWrap w:val="0"/>
                  <w:vAlign w:val="center"/>
                </w:tcPr>
                <w:p>
                  <w:pPr>
                    <w:adjustRightInd w:val="0"/>
                    <w:snapToGrid w:val="0"/>
                    <w:spacing w:line="240" w:lineRule="auto"/>
                    <w:jc w:val="center"/>
                    <w:rPr>
                      <w:color w:val="FF0000"/>
                      <w:sz w:val="21"/>
                      <w:szCs w:val="21"/>
                    </w:rPr>
                  </w:pPr>
                  <w:r>
                    <w:rPr>
                      <w:color w:val="FF0000"/>
                      <w:sz w:val="21"/>
                      <w:szCs w:val="21"/>
                    </w:rPr>
                    <w:t>面源面积（m</w:t>
                  </w:r>
                  <w:r>
                    <w:rPr>
                      <w:color w:val="FF0000"/>
                      <w:sz w:val="21"/>
                      <w:szCs w:val="21"/>
                      <w:vertAlign w:val="superscript"/>
                    </w:rPr>
                    <w:t>2</w:t>
                  </w:r>
                  <w:r>
                    <w:rPr>
                      <w:color w:val="FF0000"/>
                      <w:sz w:val="21"/>
                      <w:szCs w:val="21"/>
                    </w:rPr>
                    <w:t>）</w:t>
                  </w:r>
                </w:p>
              </w:tc>
              <w:tc>
                <w:tcPr>
                  <w:tcW w:w="1153" w:type="dxa"/>
                  <w:noWrap w:val="0"/>
                  <w:vAlign w:val="center"/>
                </w:tcPr>
                <w:p>
                  <w:pPr>
                    <w:adjustRightInd w:val="0"/>
                    <w:snapToGrid w:val="0"/>
                    <w:spacing w:line="240" w:lineRule="auto"/>
                    <w:jc w:val="center"/>
                    <w:rPr>
                      <w:color w:val="FF0000"/>
                      <w:sz w:val="21"/>
                      <w:szCs w:val="21"/>
                    </w:rPr>
                  </w:pPr>
                  <w:r>
                    <w:rPr>
                      <w:color w:val="FF0000"/>
                      <w:sz w:val="21"/>
                      <w:szCs w:val="21"/>
                    </w:rPr>
                    <w:t>面源高度（m）</w:t>
                  </w:r>
                </w:p>
              </w:tc>
              <w:tc>
                <w:tcPr>
                  <w:tcW w:w="1276" w:type="dxa"/>
                  <w:noWrap w:val="0"/>
                  <w:vAlign w:val="center"/>
                </w:tcPr>
                <w:p>
                  <w:pPr>
                    <w:adjustRightInd w:val="0"/>
                    <w:snapToGrid w:val="0"/>
                    <w:spacing w:line="240" w:lineRule="auto"/>
                    <w:jc w:val="center"/>
                    <w:rPr>
                      <w:color w:val="FF0000"/>
                      <w:sz w:val="21"/>
                      <w:szCs w:val="21"/>
                    </w:rPr>
                  </w:pPr>
                  <w:r>
                    <w:rPr>
                      <w:color w:val="FF0000"/>
                      <w:sz w:val="21"/>
                      <w:szCs w:val="21"/>
                    </w:rPr>
                    <w:t>计算结果（m）</w:t>
                  </w:r>
                </w:p>
              </w:tc>
              <w:tc>
                <w:tcPr>
                  <w:tcW w:w="1464" w:type="dxa"/>
                  <w:noWrap w:val="0"/>
                  <w:vAlign w:val="center"/>
                </w:tcPr>
                <w:p>
                  <w:pPr>
                    <w:adjustRightInd w:val="0"/>
                    <w:snapToGrid w:val="0"/>
                    <w:spacing w:line="240" w:lineRule="auto"/>
                    <w:jc w:val="center"/>
                    <w:rPr>
                      <w:color w:val="FF0000"/>
                      <w:sz w:val="21"/>
                      <w:szCs w:val="21"/>
                    </w:rPr>
                  </w:pPr>
                  <w:r>
                    <w:rPr>
                      <w:color w:val="FF0000"/>
                      <w:sz w:val="21"/>
                      <w:szCs w:val="21"/>
                    </w:rPr>
                    <w:t>卫生防护距离（m）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77" w:type="dxa"/>
                  <w:noWrap w:val="0"/>
                  <w:vAlign w:val="center"/>
                </w:tcPr>
                <w:p>
                  <w:pPr>
                    <w:adjustRightInd w:val="0"/>
                    <w:snapToGrid w:val="0"/>
                    <w:spacing w:line="240" w:lineRule="auto"/>
                    <w:jc w:val="center"/>
                    <w:rPr>
                      <w:color w:val="FF0000"/>
                      <w:sz w:val="21"/>
                      <w:szCs w:val="21"/>
                    </w:rPr>
                  </w:pPr>
                  <w:r>
                    <w:rPr>
                      <w:color w:val="FF0000"/>
                      <w:sz w:val="21"/>
                      <w:szCs w:val="21"/>
                    </w:rPr>
                    <w:t>TSP</w:t>
                  </w:r>
                </w:p>
              </w:tc>
              <w:tc>
                <w:tcPr>
                  <w:tcW w:w="1110" w:type="dxa"/>
                  <w:noWrap w:val="0"/>
                  <w:vAlign w:val="center"/>
                </w:tcPr>
                <w:p>
                  <w:pPr>
                    <w:adjustRightInd w:val="0"/>
                    <w:snapToGrid w:val="0"/>
                    <w:spacing w:line="240" w:lineRule="auto"/>
                    <w:jc w:val="center"/>
                    <w:rPr>
                      <w:color w:val="FF0000"/>
                      <w:sz w:val="21"/>
                      <w:szCs w:val="21"/>
                    </w:rPr>
                  </w:pPr>
                  <w:r>
                    <w:rPr>
                      <w:rFonts w:hint="default" w:ascii="Times New Roman" w:hAnsi="Times New Roman" w:eastAsia="宋体" w:cs="Times New Roman"/>
                      <w:i w:val="0"/>
                      <w:color w:val="FF0000"/>
                      <w:kern w:val="0"/>
                      <w:sz w:val="21"/>
                      <w:szCs w:val="21"/>
                      <w:u w:val="none"/>
                      <w:lang w:val="en-US" w:eastAsia="zh-CN" w:bidi="ar"/>
                    </w:rPr>
                    <w:t>0.00</w:t>
                  </w:r>
                  <w:r>
                    <w:rPr>
                      <w:rFonts w:hint="eastAsia" w:cs="Times New Roman"/>
                      <w:i w:val="0"/>
                      <w:color w:val="FF0000"/>
                      <w:kern w:val="0"/>
                      <w:sz w:val="21"/>
                      <w:szCs w:val="21"/>
                      <w:u w:val="none"/>
                      <w:lang w:val="en-US" w:eastAsia="zh-CN" w:bidi="ar"/>
                    </w:rPr>
                    <w:t>2</w:t>
                  </w:r>
                  <w:r>
                    <w:rPr>
                      <w:rFonts w:hint="default" w:ascii="Times New Roman" w:hAnsi="Times New Roman" w:eastAsia="宋体" w:cs="Times New Roman"/>
                      <w:i w:val="0"/>
                      <w:color w:val="FF0000"/>
                      <w:kern w:val="0"/>
                      <w:sz w:val="21"/>
                      <w:szCs w:val="21"/>
                      <w:u w:val="none"/>
                      <w:lang w:val="en-US" w:eastAsia="zh-CN" w:bidi="ar"/>
                    </w:rPr>
                    <w:t>5</w:t>
                  </w:r>
                </w:p>
              </w:tc>
              <w:tc>
                <w:tcPr>
                  <w:tcW w:w="1608" w:type="dxa"/>
                  <w:noWrap w:val="0"/>
                  <w:vAlign w:val="center"/>
                </w:tcPr>
                <w:p>
                  <w:pPr>
                    <w:adjustRightInd w:val="0"/>
                    <w:snapToGrid w:val="0"/>
                    <w:spacing w:line="240" w:lineRule="auto"/>
                    <w:jc w:val="center"/>
                    <w:rPr>
                      <w:color w:val="FF0000"/>
                      <w:sz w:val="21"/>
                      <w:szCs w:val="21"/>
                    </w:rPr>
                  </w:pPr>
                  <w:r>
                    <w:rPr>
                      <w:color w:val="FF0000"/>
                      <w:sz w:val="21"/>
                      <w:szCs w:val="21"/>
                    </w:rPr>
                    <w:t>0.9</w:t>
                  </w:r>
                </w:p>
              </w:tc>
              <w:tc>
                <w:tcPr>
                  <w:tcW w:w="1066" w:type="dxa"/>
                  <w:noWrap w:val="0"/>
                  <w:vAlign w:val="center"/>
                </w:tcPr>
                <w:p>
                  <w:pPr>
                    <w:adjustRightInd w:val="0"/>
                    <w:snapToGrid w:val="0"/>
                    <w:spacing w:line="240" w:lineRule="auto"/>
                    <w:jc w:val="center"/>
                    <w:rPr>
                      <w:rFonts w:hint="default" w:eastAsia="宋体"/>
                      <w:color w:val="FF0000"/>
                      <w:sz w:val="21"/>
                      <w:szCs w:val="21"/>
                      <w:lang w:val="en-US" w:eastAsia="zh-CN"/>
                    </w:rPr>
                  </w:pPr>
                  <w:r>
                    <w:rPr>
                      <w:rFonts w:hint="eastAsia"/>
                      <w:color w:val="FF0000"/>
                      <w:sz w:val="21"/>
                      <w:szCs w:val="21"/>
                      <w:lang w:val="en-US" w:eastAsia="zh-CN"/>
                    </w:rPr>
                    <w:t>1000</w:t>
                  </w:r>
                </w:p>
              </w:tc>
              <w:tc>
                <w:tcPr>
                  <w:tcW w:w="1153" w:type="dxa"/>
                  <w:noWrap w:val="0"/>
                  <w:vAlign w:val="center"/>
                </w:tcPr>
                <w:p>
                  <w:pPr>
                    <w:adjustRightInd w:val="0"/>
                    <w:snapToGrid w:val="0"/>
                    <w:spacing w:line="240" w:lineRule="auto"/>
                    <w:jc w:val="center"/>
                    <w:rPr>
                      <w:rFonts w:hint="eastAsia" w:eastAsia="宋体"/>
                      <w:color w:val="FF0000"/>
                      <w:sz w:val="21"/>
                      <w:szCs w:val="21"/>
                      <w:lang w:eastAsia="zh-CN"/>
                    </w:rPr>
                  </w:pPr>
                  <w:r>
                    <w:rPr>
                      <w:rFonts w:hint="eastAsia"/>
                      <w:color w:val="FF0000"/>
                      <w:sz w:val="21"/>
                      <w:szCs w:val="21"/>
                      <w:lang w:val="en-US" w:eastAsia="zh-CN"/>
                    </w:rPr>
                    <w:t>7</w:t>
                  </w:r>
                </w:p>
              </w:tc>
              <w:tc>
                <w:tcPr>
                  <w:tcW w:w="1276" w:type="dxa"/>
                  <w:noWrap w:val="0"/>
                  <w:vAlign w:val="center"/>
                </w:tcPr>
                <w:p>
                  <w:pPr>
                    <w:adjustRightInd w:val="0"/>
                    <w:snapToGrid w:val="0"/>
                    <w:spacing w:line="240" w:lineRule="auto"/>
                    <w:jc w:val="center"/>
                    <w:rPr>
                      <w:color w:val="FF0000"/>
                      <w:sz w:val="21"/>
                      <w:szCs w:val="21"/>
                    </w:rPr>
                  </w:pPr>
                  <w:r>
                    <w:rPr>
                      <w:rFonts w:hint="eastAsia"/>
                      <w:color w:val="FF0000"/>
                    </w:rPr>
                    <w:t>0.038</w:t>
                  </w:r>
                </w:p>
              </w:tc>
              <w:tc>
                <w:tcPr>
                  <w:tcW w:w="1464" w:type="dxa"/>
                  <w:noWrap w:val="0"/>
                  <w:vAlign w:val="center"/>
                </w:tcPr>
                <w:p>
                  <w:pPr>
                    <w:adjustRightInd w:val="0"/>
                    <w:snapToGrid w:val="0"/>
                    <w:spacing w:line="240" w:lineRule="auto"/>
                    <w:jc w:val="center"/>
                    <w:rPr>
                      <w:color w:val="FF0000"/>
                      <w:sz w:val="21"/>
                      <w:szCs w:val="21"/>
                    </w:rPr>
                  </w:pPr>
                  <w:r>
                    <w:rPr>
                      <w:color w:val="FF0000"/>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377" w:type="dxa"/>
                  <w:noWrap w:val="0"/>
                  <w:vAlign w:val="center"/>
                </w:tcPr>
                <w:p>
                  <w:pPr>
                    <w:adjustRightInd w:val="0"/>
                    <w:snapToGrid w:val="0"/>
                    <w:spacing w:line="240" w:lineRule="auto"/>
                    <w:jc w:val="center"/>
                    <w:rPr>
                      <w:color w:val="FF0000"/>
                      <w:sz w:val="21"/>
                      <w:szCs w:val="21"/>
                    </w:rPr>
                  </w:pPr>
                  <w:r>
                    <w:rPr>
                      <w:rFonts w:hint="eastAsia"/>
                      <w:color w:val="FF0000"/>
                      <w:sz w:val="21"/>
                      <w:szCs w:val="21"/>
                    </w:rPr>
                    <w:t>V</w:t>
                  </w:r>
                  <w:r>
                    <w:rPr>
                      <w:color w:val="FF0000"/>
                      <w:sz w:val="21"/>
                      <w:szCs w:val="21"/>
                    </w:rPr>
                    <w:t>OCs</w:t>
                  </w:r>
                </w:p>
              </w:tc>
              <w:tc>
                <w:tcPr>
                  <w:tcW w:w="1110" w:type="dxa"/>
                  <w:noWrap w:val="0"/>
                  <w:vAlign w:val="center"/>
                </w:tcPr>
                <w:p>
                  <w:pPr>
                    <w:adjustRightInd w:val="0"/>
                    <w:snapToGrid w:val="0"/>
                    <w:spacing w:line="240" w:lineRule="auto"/>
                    <w:jc w:val="center"/>
                    <w:rPr>
                      <w:color w:val="FF0000"/>
                      <w:sz w:val="21"/>
                      <w:szCs w:val="21"/>
                    </w:rPr>
                  </w:pPr>
                  <w:r>
                    <w:rPr>
                      <w:rFonts w:hint="default" w:ascii="Times New Roman" w:hAnsi="Times New Roman" w:eastAsia="宋体" w:cs="Times New Roman"/>
                      <w:i w:val="0"/>
                      <w:color w:val="FF0000"/>
                      <w:kern w:val="0"/>
                      <w:sz w:val="21"/>
                      <w:szCs w:val="21"/>
                      <w:u w:val="none"/>
                      <w:lang w:val="en-US" w:eastAsia="zh-CN" w:bidi="ar"/>
                    </w:rPr>
                    <w:t>0.005</w:t>
                  </w:r>
                </w:p>
              </w:tc>
              <w:tc>
                <w:tcPr>
                  <w:tcW w:w="1608" w:type="dxa"/>
                  <w:noWrap w:val="0"/>
                  <w:vAlign w:val="center"/>
                </w:tcPr>
                <w:p>
                  <w:pPr>
                    <w:adjustRightInd w:val="0"/>
                    <w:snapToGrid w:val="0"/>
                    <w:spacing w:line="240" w:lineRule="auto"/>
                    <w:jc w:val="center"/>
                    <w:rPr>
                      <w:color w:val="FF0000"/>
                      <w:sz w:val="21"/>
                      <w:szCs w:val="21"/>
                    </w:rPr>
                  </w:pPr>
                  <w:r>
                    <w:rPr>
                      <w:rFonts w:hint="eastAsia"/>
                      <w:color w:val="FF0000"/>
                      <w:sz w:val="21"/>
                      <w:szCs w:val="21"/>
                    </w:rPr>
                    <w:t>1.2</w:t>
                  </w:r>
                </w:p>
              </w:tc>
              <w:tc>
                <w:tcPr>
                  <w:tcW w:w="1066" w:type="dxa"/>
                  <w:noWrap w:val="0"/>
                  <w:vAlign w:val="center"/>
                </w:tcPr>
                <w:p>
                  <w:pPr>
                    <w:adjustRightInd w:val="0"/>
                    <w:snapToGrid w:val="0"/>
                    <w:spacing w:line="240" w:lineRule="auto"/>
                    <w:jc w:val="center"/>
                    <w:rPr>
                      <w:color w:val="FF0000"/>
                      <w:sz w:val="21"/>
                      <w:szCs w:val="21"/>
                    </w:rPr>
                  </w:pPr>
                  <w:r>
                    <w:rPr>
                      <w:rFonts w:hint="eastAsia"/>
                      <w:color w:val="FF0000"/>
                      <w:sz w:val="21"/>
                      <w:szCs w:val="21"/>
                      <w:lang w:val="en-US" w:eastAsia="zh-CN"/>
                    </w:rPr>
                    <w:t>1000</w:t>
                  </w:r>
                </w:p>
              </w:tc>
              <w:tc>
                <w:tcPr>
                  <w:tcW w:w="1153" w:type="dxa"/>
                  <w:noWrap w:val="0"/>
                  <w:vAlign w:val="center"/>
                </w:tcPr>
                <w:p>
                  <w:pPr>
                    <w:adjustRightInd w:val="0"/>
                    <w:snapToGrid w:val="0"/>
                    <w:spacing w:line="240" w:lineRule="auto"/>
                    <w:jc w:val="center"/>
                    <w:rPr>
                      <w:rFonts w:hint="eastAsia" w:eastAsia="宋体"/>
                      <w:color w:val="FF0000"/>
                      <w:sz w:val="21"/>
                      <w:szCs w:val="21"/>
                      <w:lang w:eastAsia="zh-CN"/>
                    </w:rPr>
                  </w:pPr>
                  <w:r>
                    <w:rPr>
                      <w:rFonts w:hint="eastAsia"/>
                      <w:color w:val="FF0000"/>
                      <w:sz w:val="21"/>
                      <w:szCs w:val="21"/>
                      <w:lang w:val="en-US" w:eastAsia="zh-CN"/>
                    </w:rPr>
                    <w:t>7</w:t>
                  </w:r>
                </w:p>
              </w:tc>
              <w:tc>
                <w:tcPr>
                  <w:tcW w:w="1276" w:type="dxa"/>
                  <w:noWrap w:val="0"/>
                  <w:vAlign w:val="center"/>
                </w:tcPr>
                <w:p>
                  <w:pPr>
                    <w:adjustRightInd w:val="0"/>
                    <w:snapToGrid w:val="0"/>
                    <w:spacing w:line="240" w:lineRule="auto"/>
                    <w:jc w:val="center"/>
                    <w:rPr>
                      <w:rFonts w:hint="eastAsia"/>
                      <w:color w:val="FF0000"/>
                      <w:sz w:val="21"/>
                      <w:szCs w:val="21"/>
                    </w:rPr>
                  </w:pPr>
                  <w:r>
                    <w:rPr>
                      <w:rFonts w:hint="eastAsia"/>
                      <w:color w:val="FF0000"/>
                    </w:rPr>
                    <w:t>0.065</w:t>
                  </w:r>
                </w:p>
              </w:tc>
              <w:tc>
                <w:tcPr>
                  <w:tcW w:w="1464" w:type="dxa"/>
                  <w:noWrap w:val="0"/>
                  <w:vAlign w:val="center"/>
                </w:tcPr>
                <w:p>
                  <w:pPr>
                    <w:adjustRightInd w:val="0"/>
                    <w:snapToGrid w:val="0"/>
                    <w:spacing w:line="240" w:lineRule="auto"/>
                    <w:jc w:val="center"/>
                    <w:rPr>
                      <w:color w:val="FF0000"/>
                      <w:sz w:val="21"/>
                      <w:szCs w:val="21"/>
                    </w:rPr>
                  </w:pPr>
                  <w:r>
                    <w:rPr>
                      <w:rFonts w:hint="eastAsia"/>
                      <w:color w:val="FF0000"/>
                      <w:sz w:val="21"/>
                      <w:szCs w:val="21"/>
                    </w:rPr>
                    <w:t>50</w:t>
                  </w:r>
                </w:p>
              </w:tc>
            </w:tr>
          </w:tbl>
          <w:p>
            <w:pPr>
              <w:pStyle w:val="8"/>
              <w:keepNext w:val="0"/>
              <w:keepLines w:val="0"/>
              <w:pageBreakBefore w:val="0"/>
              <w:widowControl w:val="0"/>
              <w:tabs>
                <w:tab w:val="left" w:pos="375"/>
              </w:tabs>
              <w:kinsoku/>
              <w:wordWrap/>
              <w:overflowPunct/>
              <w:topLinePunct w:val="0"/>
              <w:autoSpaceDE/>
              <w:autoSpaceDN/>
              <w:bidi w:val="0"/>
              <w:adjustRightInd w:val="0"/>
              <w:snapToGrid w:val="0"/>
              <w:spacing w:before="157" w:beforeLines="50"/>
              <w:ind w:firstLine="480"/>
              <w:textAlignment w:val="auto"/>
              <w:rPr>
                <w:rFonts w:ascii="Times New Roman"/>
                <w:color w:val="FF0000"/>
                <w:sz w:val="24"/>
                <w:szCs w:val="24"/>
              </w:rPr>
            </w:pPr>
            <w:r>
              <w:rPr>
                <w:rFonts w:ascii="Times New Roman"/>
                <w:color w:val="FF0000"/>
                <w:sz w:val="24"/>
                <w:szCs w:val="24"/>
              </w:rPr>
              <w:t>根据《制定地方大气污染物排放标准的技术方法》（GB/T13201-91）中有害气体无组织排放控制与工业企业卫生防护距离标准化制定方法，计算的卫生防护距离在100米以内，级差为50米，超过100米，但小于1000米时，级差为100米；同时当按两种或两种以上的有毒其他的Q</w:t>
            </w:r>
            <w:r>
              <w:rPr>
                <w:rFonts w:ascii="Times New Roman"/>
                <w:color w:val="FF0000"/>
                <w:sz w:val="24"/>
                <w:szCs w:val="24"/>
                <w:vertAlign w:val="subscript"/>
              </w:rPr>
              <w:t>c</w:t>
            </w:r>
            <w:r>
              <w:rPr>
                <w:rFonts w:ascii="Times New Roman"/>
                <w:color w:val="FF0000"/>
                <w:sz w:val="24"/>
                <w:szCs w:val="24"/>
              </w:rPr>
              <w:t>/ Q</w:t>
            </w:r>
            <w:r>
              <w:rPr>
                <w:rFonts w:ascii="Times New Roman"/>
                <w:color w:val="FF0000"/>
                <w:sz w:val="24"/>
                <w:szCs w:val="24"/>
                <w:vertAlign w:val="subscript"/>
              </w:rPr>
              <w:t>m</w:t>
            </w:r>
            <w:r>
              <w:rPr>
                <w:rFonts w:ascii="Times New Roman"/>
                <w:color w:val="FF0000"/>
                <w:sz w:val="24"/>
                <w:szCs w:val="24"/>
              </w:rPr>
              <w:t>值计算的卫生防护距离在同一级别时，该类企业的卫生防护距离级别应提高一级。</w:t>
            </w:r>
          </w:p>
          <w:p>
            <w:pPr>
              <w:pStyle w:val="8"/>
              <w:tabs>
                <w:tab w:val="left" w:pos="375"/>
              </w:tabs>
              <w:adjustRightInd w:val="0"/>
              <w:ind w:firstLine="480"/>
              <w:rPr>
                <w:rFonts w:ascii="Times New Roman"/>
                <w:sz w:val="24"/>
                <w:szCs w:val="24"/>
              </w:rPr>
            </w:pPr>
            <w:r>
              <w:rPr>
                <w:rFonts w:ascii="Times New Roman"/>
                <w:color w:val="FF0000"/>
                <w:sz w:val="24"/>
                <w:szCs w:val="24"/>
              </w:rPr>
              <w:t>如表</w:t>
            </w:r>
            <w:r>
              <w:rPr>
                <w:rFonts w:hint="eastAsia" w:ascii="Times New Roman"/>
                <w:color w:val="FF0000"/>
                <w:sz w:val="24"/>
                <w:szCs w:val="24"/>
                <w:lang w:val="en-US" w:eastAsia="zh-CN"/>
              </w:rPr>
              <w:t>7-18</w:t>
            </w:r>
            <w:r>
              <w:rPr>
                <w:rFonts w:ascii="Times New Roman"/>
                <w:color w:val="FF0000"/>
                <w:sz w:val="24"/>
                <w:szCs w:val="24"/>
              </w:rPr>
              <w:t>所示，根据上述可知，本项目卫生防护距离取厂房周</w:t>
            </w:r>
            <w:r>
              <w:rPr>
                <w:rFonts w:hint="eastAsia" w:ascii="Times New Roman" w:hAnsi="Times New Roman" w:eastAsia="宋体" w:cs="Times New Roman"/>
                <w:bCs/>
                <w:caps w:val="0"/>
                <w:color w:val="FF0000"/>
                <w:kern w:val="2"/>
                <w:sz w:val="24"/>
                <w:szCs w:val="22"/>
                <w:lang w:val="en-US" w:eastAsia="zh-CN" w:bidi="ar-SA"/>
              </w:rPr>
              <w:t>围100m范围内，而本项目厂房周围100m均没有环境敏感点，均为厂房，因此项目建</w:t>
            </w:r>
            <w:r>
              <w:rPr>
                <w:rFonts w:ascii="Times New Roman"/>
                <w:color w:val="FF0000"/>
                <w:sz w:val="24"/>
                <w:szCs w:val="24"/>
              </w:rPr>
              <w:t>设符合卫生防护距离要求。本项目卫生防护距离包络线图见附图</w:t>
            </w:r>
            <w:r>
              <w:rPr>
                <w:rFonts w:hint="eastAsia" w:ascii="Times New Roman"/>
                <w:color w:val="FF0000"/>
                <w:sz w:val="24"/>
                <w:szCs w:val="24"/>
                <w:lang w:val="en-US" w:eastAsia="zh-CN"/>
              </w:rPr>
              <w:t>4</w:t>
            </w:r>
            <w:r>
              <w:rPr>
                <w:rFonts w:ascii="Times New Roman"/>
                <w:color w:val="FF0000"/>
                <w:sz w:val="24"/>
                <w:szCs w:val="24"/>
              </w:rPr>
              <w:t>。</w:t>
            </w:r>
          </w:p>
          <w:p>
            <w:pPr>
              <w:spacing w:line="360" w:lineRule="auto"/>
              <w:ind w:firstLine="482" w:firstLineChars="200"/>
              <w:jc w:val="left"/>
              <w:rPr>
                <w:b/>
                <w:sz w:val="24"/>
                <w:szCs w:val="22"/>
              </w:rPr>
            </w:pPr>
            <w:r>
              <w:rPr>
                <w:b/>
                <w:sz w:val="24"/>
                <w:szCs w:val="22"/>
              </w:rPr>
              <w:t>3</w:t>
            </w:r>
            <w:r>
              <w:rPr>
                <w:rFonts w:hint="eastAsia"/>
                <w:b/>
                <w:sz w:val="24"/>
                <w:szCs w:val="22"/>
              </w:rPr>
              <w:t>、声环境影响分析</w:t>
            </w:r>
          </w:p>
          <w:p>
            <w:pPr>
              <w:pStyle w:val="8"/>
              <w:tabs>
                <w:tab w:val="left" w:pos="375"/>
              </w:tabs>
              <w:adjustRightInd w:val="0"/>
              <w:ind w:firstLine="480"/>
              <w:rPr>
                <w:rFonts w:ascii="Times New Roman"/>
                <w:sz w:val="24"/>
                <w:szCs w:val="24"/>
              </w:rPr>
            </w:pPr>
            <w:r>
              <w:rPr>
                <w:rFonts w:ascii="Times New Roman"/>
                <w:sz w:val="24"/>
                <w:szCs w:val="24"/>
              </w:rPr>
              <w:t>项目噪声来源于固化炉、</w:t>
            </w:r>
            <w:r>
              <w:rPr>
                <w:rFonts w:hint="eastAsia" w:ascii="Times New Roman"/>
                <w:sz w:val="24"/>
                <w:szCs w:val="24"/>
              </w:rPr>
              <w:t>燃烧器</w:t>
            </w:r>
            <w:r>
              <w:rPr>
                <w:rFonts w:ascii="Times New Roman"/>
                <w:sz w:val="24"/>
                <w:szCs w:val="24"/>
              </w:rPr>
              <w:t>等设备产生的噪声，噪声值</w:t>
            </w:r>
            <w:r>
              <w:rPr>
                <w:rFonts w:hint="eastAsia" w:ascii="Times New Roman"/>
                <w:sz w:val="24"/>
                <w:szCs w:val="24"/>
              </w:rPr>
              <w:t>约为</w:t>
            </w:r>
            <w:r>
              <w:rPr>
                <w:rFonts w:hint="eastAsia" w:ascii="Times New Roman"/>
                <w:color w:val="FF0000"/>
                <w:sz w:val="24"/>
                <w:szCs w:val="24"/>
                <w:lang w:val="en-US" w:eastAsia="zh-CN"/>
              </w:rPr>
              <w:t>60-90</w:t>
            </w:r>
            <w:r>
              <w:rPr>
                <w:rFonts w:hint="eastAsia" w:ascii="Times New Roman" w:hAnsi="Times New Roman" w:eastAsia="宋体" w:cs="Times New Roman"/>
                <w:bCs/>
                <w:caps w:val="0"/>
                <w:color w:val="FF0000"/>
                <w:kern w:val="2"/>
                <w:sz w:val="24"/>
                <w:szCs w:val="22"/>
                <w:lang w:val="en-US" w:eastAsia="zh-CN" w:bidi="ar-SA"/>
              </w:rPr>
              <w:t>d</w:t>
            </w:r>
            <w:r>
              <w:rPr>
                <w:rFonts w:hint="eastAsia" w:ascii="Times New Roman"/>
                <w:color w:val="FF0000"/>
                <w:sz w:val="24"/>
                <w:szCs w:val="24"/>
              </w:rPr>
              <w:t>B（A）</w:t>
            </w:r>
            <w:r>
              <w:rPr>
                <w:rFonts w:hint="eastAsia" w:ascii="Times New Roman"/>
                <w:sz w:val="24"/>
                <w:szCs w:val="24"/>
              </w:rPr>
              <w:t>。</w:t>
            </w:r>
            <w:r>
              <w:rPr>
                <w:rFonts w:ascii="Times New Roman"/>
                <w:sz w:val="24"/>
                <w:szCs w:val="24"/>
              </w:rPr>
              <w:t>根据现场勘查，本项目的生产设备均放置在厂房内，其运行噪声经实体墙阻隔后，能有效衰减。</w:t>
            </w:r>
          </w:p>
          <w:p>
            <w:pPr>
              <w:pStyle w:val="8"/>
              <w:tabs>
                <w:tab w:val="left" w:pos="375"/>
              </w:tabs>
              <w:adjustRightInd w:val="0"/>
              <w:ind w:firstLine="480"/>
              <w:rPr>
                <w:rFonts w:ascii="Times New Roman"/>
                <w:sz w:val="24"/>
                <w:szCs w:val="24"/>
              </w:rPr>
            </w:pPr>
            <w:r>
              <w:rPr>
                <w:rFonts w:ascii="Times New Roman"/>
                <w:sz w:val="24"/>
                <w:szCs w:val="24"/>
              </w:rPr>
              <w:t>项目周围主要为厂房，为了进一步降低生产过程中产生的噪声，尽量避免本项目噪声对周围环境及项目内员工产生不良影响，本环评建议采取如下措施：</w:t>
            </w:r>
          </w:p>
          <w:p>
            <w:pPr>
              <w:pStyle w:val="8"/>
              <w:tabs>
                <w:tab w:val="left" w:pos="375"/>
              </w:tabs>
              <w:adjustRightInd w:val="0"/>
              <w:ind w:firstLine="480"/>
              <w:rPr>
                <w:rFonts w:ascii="Times New Roman"/>
                <w:sz w:val="24"/>
                <w:szCs w:val="24"/>
              </w:rPr>
            </w:pPr>
            <w:r>
              <w:rPr>
                <w:rFonts w:ascii="Times New Roman"/>
                <w:sz w:val="24"/>
                <w:szCs w:val="24"/>
              </w:rPr>
              <w:t>（1）设备选低噪声设备，从根本上控制噪声的影响；</w:t>
            </w:r>
          </w:p>
          <w:p>
            <w:pPr>
              <w:pStyle w:val="8"/>
              <w:tabs>
                <w:tab w:val="left" w:pos="375"/>
              </w:tabs>
              <w:adjustRightInd w:val="0"/>
              <w:ind w:firstLine="480"/>
              <w:rPr>
                <w:rFonts w:ascii="Times New Roman"/>
                <w:sz w:val="24"/>
                <w:szCs w:val="24"/>
              </w:rPr>
            </w:pPr>
            <w:r>
              <w:rPr>
                <w:rFonts w:ascii="Times New Roman"/>
                <w:sz w:val="24"/>
                <w:szCs w:val="24"/>
              </w:rPr>
              <w:t>（2）根据厂区实际情况，对厂区各产生高噪声的设备进行合理布局，使同类高噪声的设备远离项目厂房边界；</w:t>
            </w:r>
          </w:p>
          <w:p>
            <w:pPr>
              <w:pStyle w:val="8"/>
              <w:tabs>
                <w:tab w:val="left" w:pos="375"/>
              </w:tabs>
              <w:adjustRightInd w:val="0"/>
              <w:ind w:firstLine="480"/>
              <w:rPr>
                <w:rFonts w:ascii="Times New Roman"/>
                <w:sz w:val="24"/>
                <w:szCs w:val="24"/>
              </w:rPr>
            </w:pPr>
            <w:r>
              <w:rPr>
                <w:rFonts w:ascii="Times New Roman"/>
                <w:sz w:val="24"/>
                <w:szCs w:val="24"/>
              </w:rPr>
              <w:t>（3）对高噪声的机械设备设施进行减振处理，加强设备的维修保养等，对振动筛等噪声较大的设备设置减震弹簧、减震垫等减震措施；</w:t>
            </w:r>
          </w:p>
          <w:p>
            <w:pPr>
              <w:pStyle w:val="8"/>
              <w:tabs>
                <w:tab w:val="left" w:pos="375"/>
              </w:tabs>
              <w:adjustRightInd w:val="0"/>
              <w:ind w:firstLine="480"/>
              <w:rPr>
                <w:rFonts w:ascii="Times New Roman"/>
                <w:sz w:val="24"/>
                <w:szCs w:val="24"/>
              </w:rPr>
            </w:pPr>
            <w:r>
              <w:rPr>
                <w:rFonts w:ascii="Times New Roman"/>
                <w:sz w:val="24"/>
                <w:szCs w:val="24"/>
              </w:rPr>
              <w:t>（4）做好个人防护，让处于噪声环境下的人员使用耳塞、耳罩等防护用品，减少在噪声环境中的暴露时间，以减轻噪声对人体的危害。</w:t>
            </w:r>
          </w:p>
          <w:p>
            <w:pPr>
              <w:pStyle w:val="8"/>
              <w:tabs>
                <w:tab w:val="left" w:pos="375"/>
              </w:tabs>
              <w:adjustRightInd w:val="0"/>
              <w:ind w:firstLine="480"/>
              <w:rPr>
                <w:rFonts w:ascii="Times New Roman"/>
                <w:sz w:val="24"/>
                <w:szCs w:val="24"/>
              </w:rPr>
            </w:pPr>
            <w:r>
              <w:rPr>
                <w:rFonts w:ascii="Times New Roman"/>
                <w:sz w:val="24"/>
                <w:szCs w:val="24"/>
              </w:rPr>
              <w:t>（5）定期对车间内设备进行检修，防止不良工况的故障噪声产生；</w:t>
            </w:r>
          </w:p>
          <w:p>
            <w:pPr>
              <w:pStyle w:val="8"/>
              <w:tabs>
                <w:tab w:val="left" w:pos="375"/>
              </w:tabs>
              <w:adjustRightInd w:val="0"/>
              <w:ind w:firstLine="480"/>
              <w:rPr>
                <w:rFonts w:ascii="Times New Roman"/>
                <w:sz w:val="24"/>
                <w:szCs w:val="24"/>
              </w:rPr>
            </w:pPr>
            <w:r>
              <w:rPr>
                <w:rFonts w:ascii="Times New Roman"/>
                <w:sz w:val="24"/>
                <w:szCs w:val="24"/>
              </w:rPr>
              <w:t>（6）定时组织车间内工作人员工作指导教育，宣传降低噪声对自身影响的措施，做好职工上岗前培训。</w:t>
            </w:r>
          </w:p>
          <w:p>
            <w:pPr>
              <w:pStyle w:val="8"/>
              <w:tabs>
                <w:tab w:val="left" w:pos="375"/>
              </w:tabs>
              <w:adjustRightInd w:val="0"/>
              <w:ind w:firstLine="480"/>
              <w:rPr>
                <w:rFonts w:ascii="Times New Roman"/>
                <w:sz w:val="24"/>
                <w:szCs w:val="24"/>
              </w:rPr>
            </w:pPr>
            <w:r>
              <w:rPr>
                <w:rFonts w:ascii="Times New Roman"/>
                <w:sz w:val="24"/>
                <w:szCs w:val="24"/>
              </w:rPr>
              <w:t>设备产生的噪声经过隔震、降噪再经空间距离衰减后，项目在正常运营的情况下，在厂界处产生的噪声增量很小，项目厂界外1米处噪声能够达到《声环境质量标准》(GB3096-2008)中2类区的标准限值要求，即本项目在切实落实好各项有效的隔声降噪措施的情况下，其厂界噪声值符合《声环境质量标准》(GB3096-2008)2类区标准。</w:t>
            </w:r>
          </w:p>
          <w:p>
            <w:pPr>
              <w:spacing w:line="360" w:lineRule="auto"/>
              <w:ind w:firstLine="482" w:firstLineChars="200"/>
              <w:jc w:val="left"/>
              <w:rPr>
                <w:b/>
                <w:sz w:val="24"/>
                <w:szCs w:val="22"/>
              </w:rPr>
            </w:pPr>
            <w:r>
              <w:rPr>
                <w:b/>
                <w:sz w:val="24"/>
                <w:szCs w:val="22"/>
              </w:rPr>
              <w:t>4</w:t>
            </w:r>
            <w:r>
              <w:rPr>
                <w:rFonts w:hint="eastAsia"/>
                <w:b/>
                <w:sz w:val="24"/>
                <w:szCs w:val="22"/>
              </w:rPr>
              <w:t>、固体废物影响分析</w:t>
            </w:r>
          </w:p>
          <w:p>
            <w:pPr>
              <w:autoSpaceDE w:val="0"/>
              <w:autoSpaceDN w:val="0"/>
              <w:adjustRightInd w:val="0"/>
              <w:snapToGrid w:val="0"/>
              <w:spacing w:line="360" w:lineRule="auto"/>
              <w:ind w:firstLine="480" w:firstLineChars="200"/>
              <w:textAlignment w:val="baseline"/>
              <w:rPr>
                <w:kern w:val="24"/>
                <w:sz w:val="24"/>
              </w:rPr>
            </w:pPr>
            <w:r>
              <w:rPr>
                <w:kern w:val="24"/>
                <w:sz w:val="24"/>
              </w:rPr>
              <w:t>本项目产生的固体废物主要有：员工生活垃圾、一般工业固废、危险废物。</w:t>
            </w:r>
          </w:p>
          <w:p>
            <w:pPr>
              <w:adjustRightInd w:val="0"/>
              <w:snapToGrid w:val="0"/>
              <w:spacing w:line="360" w:lineRule="auto"/>
              <w:ind w:firstLine="482" w:firstLineChars="200"/>
              <w:rPr>
                <w:b/>
                <w:sz w:val="24"/>
              </w:rPr>
            </w:pPr>
            <w:r>
              <w:rPr>
                <w:b/>
                <w:sz w:val="24"/>
              </w:rPr>
              <w:t>（1）生活垃圾</w:t>
            </w:r>
          </w:p>
          <w:p>
            <w:pPr>
              <w:adjustRightInd w:val="0"/>
              <w:snapToGrid w:val="0"/>
              <w:spacing w:line="360" w:lineRule="auto"/>
              <w:ind w:firstLine="480" w:firstLineChars="200"/>
              <w:rPr>
                <w:bCs/>
                <w:sz w:val="24"/>
              </w:rPr>
            </w:pPr>
            <w:r>
              <w:rPr>
                <w:bCs/>
                <w:sz w:val="24"/>
              </w:rPr>
              <w:t>本项目生活垃圾经收集后交环卫部门处理。</w:t>
            </w:r>
          </w:p>
          <w:p>
            <w:pPr>
              <w:adjustRightInd w:val="0"/>
              <w:snapToGrid w:val="0"/>
              <w:spacing w:line="360" w:lineRule="auto"/>
              <w:ind w:firstLine="482" w:firstLineChars="200"/>
              <w:rPr>
                <w:b/>
                <w:sz w:val="24"/>
              </w:rPr>
            </w:pPr>
            <w:r>
              <w:rPr>
                <w:b/>
                <w:sz w:val="24"/>
              </w:rPr>
              <w:t>（2）一般工业固废</w:t>
            </w:r>
          </w:p>
          <w:p>
            <w:pPr>
              <w:adjustRightInd w:val="0"/>
              <w:snapToGrid w:val="0"/>
              <w:spacing w:line="360" w:lineRule="auto"/>
              <w:ind w:firstLine="480" w:firstLineChars="200"/>
              <w:rPr>
                <w:bCs/>
                <w:sz w:val="24"/>
              </w:rPr>
            </w:pPr>
            <w:r>
              <w:rPr>
                <w:bCs/>
                <w:sz w:val="24"/>
              </w:rPr>
              <w:t>项目生产过程中会产生的一般工业固废为包装废物经收集后定期外卖给回收公司回收处理；原料空桶</w:t>
            </w:r>
            <w:r>
              <w:rPr>
                <w:rFonts w:hint="eastAsia"/>
                <w:bCs/>
                <w:sz w:val="24"/>
              </w:rPr>
              <w:t>不属于固体废物，直接</w:t>
            </w:r>
            <w:r>
              <w:rPr>
                <w:bCs/>
                <w:sz w:val="24"/>
              </w:rPr>
              <w:t>交由厂家回收再利用。</w:t>
            </w:r>
          </w:p>
          <w:p>
            <w:pPr>
              <w:adjustRightInd w:val="0"/>
              <w:snapToGrid w:val="0"/>
              <w:spacing w:line="360" w:lineRule="auto"/>
              <w:ind w:firstLine="482" w:firstLineChars="200"/>
              <w:rPr>
                <w:b/>
                <w:sz w:val="24"/>
              </w:rPr>
            </w:pPr>
            <w:r>
              <w:rPr>
                <w:b/>
                <w:sz w:val="24"/>
              </w:rPr>
              <w:t>（3）危险废物</w:t>
            </w:r>
          </w:p>
          <w:p>
            <w:pPr>
              <w:adjustRightInd w:val="0"/>
              <w:snapToGrid w:val="0"/>
              <w:spacing w:line="360" w:lineRule="auto"/>
              <w:ind w:firstLine="480" w:firstLineChars="200"/>
              <w:rPr>
                <w:bCs/>
                <w:sz w:val="24"/>
              </w:rPr>
            </w:pPr>
            <w:r>
              <w:rPr>
                <w:bCs/>
                <w:sz w:val="24"/>
              </w:rPr>
              <w:t>项目生产过程中会产生的危险固废为废UV灯管、废活性炭，经收集后交由有资质的单位回收处理。</w:t>
            </w:r>
          </w:p>
          <w:p>
            <w:pPr>
              <w:pStyle w:val="35"/>
              <w:spacing w:line="360" w:lineRule="auto"/>
              <w:ind w:firstLine="480" w:firstLineChars="200"/>
              <w:jc w:val="both"/>
              <w:rPr>
                <w:rFonts w:ascii="Times New Roman" w:hAnsi="Times New Roman"/>
                <w:bCs w:val="0"/>
                <w:sz w:val="24"/>
                <w:szCs w:val="24"/>
              </w:rPr>
            </w:pPr>
            <w:r>
              <w:rPr>
                <w:rFonts w:ascii="Times New Roman" w:hAnsi="Times New Roman"/>
                <w:bCs w:val="0"/>
                <w:sz w:val="24"/>
                <w:szCs w:val="24"/>
              </w:rPr>
              <w:t>建设单位须根据废物特性设置符合《危险废物贮存污染控制标准》（GB18597-2001）及其2013年修改单要求的危险废物暂存场所，且在暂存场所上空设有防雨淋设施，地面采取防渗措施，危险废物收集后分别临时贮存于废物储罐内；根据生产需要合理设置贮存量，尽量减少厂区内的物料贮存量；严禁将危险废物混入生活垃圾；堆放危险废物的地方要有明显的标志，堆放点要防雨、防渗、防漏，按要求进行包装贮存。项目的危险废物贮存场所设置与生产车间内，面积约</w:t>
            </w:r>
            <w:r>
              <w:rPr>
                <w:rFonts w:hint="eastAsia" w:ascii="Times New Roman" w:hAnsi="Times New Roman"/>
                <w:bCs w:val="0"/>
                <w:sz w:val="24"/>
                <w:szCs w:val="24"/>
              </w:rPr>
              <w:t>2</w:t>
            </w:r>
            <w:r>
              <w:rPr>
                <w:rFonts w:ascii="Times New Roman" w:hAnsi="Times New Roman"/>
                <w:bCs w:val="0"/>
                <w:sz w:val="24"/>
                <w:szCs w:val="24"/>
              </w:rPr>
              <w:t>m</w:t>
            </w:r>
            <w:r>
              <w:rPr>
                <w:rFonts w:ascii="Times New Roman" w:hAnsi="Times New Roman"/>
                <w:bCs w:val="0"/>
                <w:sz w:val="24"/>
                <w:szCs w:val="24"/>
                <w:vertAlign w:val="superscript"/>
              </w:rPr>
              <w:t>2</w:t>
            </w:r>
            <w:r>
              <w:rPr>
                <w:rFonts w:ascii="Times New Roman" w:hAnsi="Times New Roman"/>
                <w:bCs w:val="0"/>
                <w:sz w:val="24"/>
                <w:szCs w:val="24"/>
              </w:rPr>
              <w:t>，可满足项目危险废物暂存的要求，基本情况见</w:t>
            </w:r>
            <w:r>
              <w:rPr>
                <w:rFonts w:hint="eastAsia" w:ascii="Times New Roman" w:hAnsi="Times New Roman"/>
                <w:bCs w:val="0"/>
                <w:sz w:val="24"/>
                <w:szCs w:val="24"/>
                <w:lang w:val="en-US" w:eastAsia="zh-CN"/>
              </w:rPr>
              <w:t>下表</w:t>
            </w:r>
            <w:r>
              <w:rPr>
                <w:rFonts w:ascii="Times New Roman" w:hAnsi="Times New Roman"/>
                <w:bCs w:val="0"/>
                <w:sz w:val="24"/>
                <w:szCs w:val="24"/>
              </w:rPr>
              <w:t>。</w:t>
            </w:r>
          </w:p>
          <w:p>
            <w:pPr>
              <w:pStyle w:val="35"/>
              <w:jc w:val="center"/>
              <w:rPr>
                <w:rFonts w:ascii="Times New Roman" w:hAnsi="Times New Roman"/>
                <w:b/>
                <w:szCs w:val="21"/>
              </w:rPr>
            </w:pPr>
          </w:p>
          <w:p>
            <w:pPr>
              <w:pStyle w:val="35"/>
              <w:jc w:val="center"/>
              <w:rPr>
                <w:rFonts w:ascii="Times New Roman" w:hAnsi="Times New Roman"/>
                <w:b/>
                <w:szCs w:val="21"/>
              </w:rPr>
            </w:pPr>
          </w:p>
          <w:p>
            <w:pPr>
              <w:pStyle w:val="35"/>
              <w:jc w:val="center"/>
              <w:rPr>
                <w:rFonts w:ascii="Times New Roman" w:hAnsi="Times New Roman"/>
                <w:b/>
                <w:szCs w:val="21"/>
              </w:rPr>
            </w:pPr>
          </w:p>
          <w:p>
            <w:pPr>
              <w:pStyle w:val="35"/>
              <w:jc w:val="center"/>
              <w:rPr>
                <w:rFonts w:ascii="Times New Roman" w:hAnsi="Times New Roman"/>
                <w:b/>
                <w:szCs w:val="21"/>
              </w:rPr>
            </w:pPr>
            <w:r>
              <w:rPr>
                <w:rFonts w:ascii="Times New Roman" w:hAnsi="Times New Roman"/>
                <w:b/>
                <w:szCs w:val="21"/>
              </w:rPr>
              <w:t>表</w:t>
            </w:r>
            <w:r>
              <w:rPr>
                <w:rFonts w:hint="eastAsia" w:ascii="Times New Roman" w:hAnsi="Times New Roman"/>
                <w:b/>
                <w:szCs w:val="21"/>
              </w:rPr>
              <w:t>7-1</w:t>
            </w:r>
            <w:r>
              <w:rPr>
                <w:rFonts w:hint="eastAsia" w:ascii="Times New Roman" w:hAnsi="Times New Roman"/>
                <w:b/>
                <w:szCs w:val="21"/>
                <w:lang w:val="en-US" w:eastAsia="zh-CN"/>
              </w:rPr>
              <w:t xml:space="preserve">9  </w:t>
            </w:r>
            <w:r>
              <w:rPr>
                <w:rFonts w:ascii="Times New Roman" w:hAnsi="Times New Roman"/>
                <w:b/>
                <w:szCs w:val="21"/>
              </w:rPr>
              <w:t>建设项目危险废物贮存场所（设施）基本情况样表</w:t>
            </w:r>
          </w:p>
          <w:tbl>
            <w:tblPr>
              <w:tblStyle w:val="15"/>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1115"/>
              <w:gridCol w:w="1005"/>
              <w:gridCol w:w="870"/>
              <w:gridCol w:w="825"/>
              <w:gridCol w:w="870"/>
              <w:gridCol w:w="750"/>
              <w:gridCol w:w="810"/>
              <w:gridCol w:w="780"/>
              <w:gridCol w:w="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76"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序号</w:t>
                  </w:r>
                </w:p>
              </w:tc>
              <w:tc>
                <w:tcPr>
                  <w:tcW w:w="1115"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贮存场所（设施）名称</w:t>
                  </w:r>
                </w:p>
              </w:tc>
              <w:tc>
                <w:tcPr>
                  <w:tcW w:w="1005"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危险废</w:t>
                  </w:r>
                </w:p>
                <w:p>
                  <w:pPr>
                    <w:pStyle w:val="35"/>
                    <w:jc w:val="center"/>
                    <w:rPr>
                      <w:rFonts w:ascii="Times New Roman" w:hAnsi="Times New Roman"/>
                      <w:bCs w:val="0"/>
                      <w:szCs w:val="21"/>
                    </w:rPr>
                  </w:pPr>
                  <w:r>
                    <w:rPr>
                      <w:rFonts w:ascii="Times New Roman" w:hAnsi="Times New Roman"/>
                      <w:bCs w:val="0"/>
                      <w:szCs w:val="21"/>
                    </w:rPr>
                    <w:t>物名称</w:t>
                  </w:r>
                </w:p>
              </w:tc>
              <w:tc>
                <w:tcPr>
                  <w:tcW w:w="87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危险废物类别</w:t>
                  </w:r>
                </w:p>
              </w:tc>
              <w:tc>
                <w:tcPr>
                  <w:tcW w:w="825"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危险废物代码</w:t>
                  </w:r>
                </w:p>
              </w:tc>
              <w:tc>
                <w:tcPr>
                  <w:tcW w:w="87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位置</w:t>
                  </w:r>
                </w:p>
              </w:tc>
              <w:tc>
                <w:tcPr>
                  <w:tcW w:w="75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占地面积</w:t>
                  </w:r>
                </w:p>
              </w:tc>
              <w:tc>
                <w:tcPr>
                  <w:tcW w:w="81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贮存方式</w:t>
                  </w:r>
                </w:p>
              </w:tc>
              <w:tc>
                <w:tcPr>
                  <w:tcW w:w="78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贮存</w:t>
                  </w:r>
                </w:p>
                <w:p>
                  <w:pPr>
                    <w:pStyle w:val="35"/>
                    <w:jc w:val="center"/>
                    <w:rPr>
                      <w:rFonts w:ascii="Times New Roman" w:hAnsi="Times New Roman"/>
                      <w:bCs w:val="0"/>
                      <w:szCs w:val="21"/>
                    </w:rPr>
                  </w:pPr>
                  <w:r>
                    <w:rPr>
                      <w:rFonts w:ascii="Times New Roman" w:hAnsi="Times New Roman"/>
                      <w:bCs w:val="0"/>
                      <w:szCs w:val="21"/>
                    </w:rPr>
                    <w:t>能力</w:t>
                  </w:r>
                </w:p>
              </w:tc>
              <w:tc>
                <w:tcPr>
                  <w:tcW w:w="795"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贮存</w:t>
                  </w:r>
                </w:p>
                <w:p>
                  <w:pPr>
                    <w:pStyle w:val="35"/>
                    <w:jc w:val="center"/>
                    <w:rPr>
                      <w:rFonts w:ascii="Times New Roman" w:hAnsi="Times New Roman"/>
                      <w:bCs w:val="0"/>
                      <w:szCs w:val="21"/>
                    </w:rPr>
                  </w:pPr>
                  <w:r>
                    <w:rPr>
                      <w:rFonts w:ascii="Times New Roman" w:hAnsi="Times New Roman"/>
                      <w:bCs w:val="0"/>
                      <w:szCs w:val="21"/>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76"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1</w:t>
                  </w:r>
                </w:p>
              </w:tc>
              <w:tc>
                <w:tcPr>
                  <w:tcW w:w="1115" w:type="dxa"/>
                  <w:vMerge w:val="restart"/>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危险废物存放点</w:t>
                  </w:r>
                </w:p>
              </w:tc>
              <w:tc>
                <w:tcPr>
                  <w:tcW w:w="1005"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废活性炭</w:t>
                  </w:r>
                </w:p>
              </w:tc>
              <w:tc>
                <w:tcPr>
                  <w:tcW w:w="870" w:type="dxa"/>
                  <w:tcBorders>
                    <w:tl2br w:val="nil"/>
                    <w:tr2bl w:val="nil"/>
                  </w:tcBorders>
                  <w:vAlign w:val="center"/>
                </w:tcPr>
                <w:p>
                  <w:pPr>
                    <w:pStyle w:val="35"/>
                    <w:jc w:val="center"/>
                    <w:rPr>
                      <w:rFonts w:ascii="Times New Roman" w:hAnsi="Times New Roman" w:eastAsia="宋体"/>
                      <w:bCs w:val="0"/>
                      <w:szCs w:val="21"/>
                    </w:rPr>
                  </w:pPr>
                  <w:r>
                    <w:rPr>
                      <w:rFonts w:ascii="Times New Roman" w:hAnsi="Times New Roman"/>
                      <w:bCs w:val="0"/>
                      <w:szCs w:val="21"/>
                    </w:rPr>
                    <w:t xml:space="preserve">HW49 </w:t>
                  </w:r>
                </w:p>
              </w:tc>
              <w:tc>
                <w:tcPr>
                  <w:tcW w:w="825" w:type="dxa"/>
                  <w:tcBorders>
                    <w:tl2br w:val="nil"/>
                    <w:tr2bl w:val="nil"/>
                  </w:tcBorders>
                  <w:vAlign w:val="center"/>
                </w:tcPr>
                <w:p>
                  <w:pPr>
                    <w:pStyle w:val="35"/>
                    <w:jc w:val="center"/>
                    <w:rPr>
                      <w:rFonts w:ascii="Times New Roman" w:hAnsi="Times New Roman" w:eastAsia="宋体"/>
                      <w:bCs w:val="0"/>
                      <w:szCs w:val="21"/>
                    </w:rPr>
                  </w:pPr>
                  <w:r>
                    <w:rPr>
                      <w:rFonts w:ascii="Times New Roman" w:hAnsi="Times New Roman"/>
                      <w:bCs w:val="0"/>
                      <w:szCs w:val="21"/>
                    </w:rPr>
                    <w:t>900-041-49</w:t>
                  </w:r>
                </w:p>
              </w:tc>
              <w:tc>
                <w:tcPr>
                  <w:tcW w:w="870" w:type="dxa"/>
                  <w:vMerge w:val="restart"/>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危废暂存间</w:t>
                  </w:r>
                </w:p>
              </w:tc>
              <w:tc>
                <w:tcPr>
                  <w:tcW w:w="750" w:type="dxa"/>
                  <w:vMerge w:val="restart"/>
                  <w:tcBorders>
                    <w:tl2br w:val="nil"/>
                    <w:tr2bl w:val="nil"/>
                  </w:tcBorders>
                  <w:vAlign w:val="center"/>
                </w:tcPr>
                <w:p>
                  <w:pPr>
                    <w:pStyle w:val="35"/>
                    <w:jc w:val="center"/>
                    <w:rPr>
                      <w:rFonts w:ascii="Times New Roman" w:hAnsi="Times New Roman"/>
                      <w:bCs w:val="0"/>
                      <w:szCs w:val="21"/>
                    </w:rPr>
                  </w:pPr>
                  <w:r>
                    <w:rPr>
                      <w:rFonts w:hint="eastAsia" w:ascii="Times New Roman" w:hAnsi="Times New Roman"/>
                      <w:bCs w:val="0"/>
                      <w:szCs w:val="21"/>
                    </w:rPr>
                    <w:t>2</w:t>
                  </w:r>
                  <w:r>
                    <w:rPr>
                      <w:rFonts w:ascii="Times New Roman" w:hAnsi="Times New Roman"/>
                      <w:bCs w:val="0"/>
                      <w:szCs w:val="21"/>
                    </w:rPr>
                    <w:t>m</w:t>
                  </w:r>
                  <w:r>
                    <w:rPr>
                      <w:rFonts w:ascii="Times New Roman" w:hAnsi="Times New Roman"/>
                      <w:bCs w:val="0"/>
                      <w:szCs w:val="21"/>
                      <w:vertAlign w:val="superscript"/>
                    </w:rPr>
                    <w:t>2</w:t>
                  </w:r>
                </w:p>
              </w:tc>
              <w:tc>
                <w:tcPr>
                  <w:tcW w:w="81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塑料桶装</w:t>
                  </w:r>
                </w:p>
              </w:tc>
              <w:tc>
                <w:tcPr>
                  <w:tcW w:w="78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1t</w:t>
                  </w:r>
                </w:p>
              </w:tc>
              <w:tc>
                <w:tcPr>
                  <w:tcW w:w="795" w:type="dxa"/>
                  <w:vMerge w:val="restart"/>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12个月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7" w:hRule="atLeast"/>
                <w:jc w:val="center"/>
              </w:trPr>
              <w:tc>
                <w:tcPr>
                  <w:tcW w:w="476"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2</w:t>
                  </w:r>
                </w:p>
              </w:tc>
              <w:tc>
                <w:tcPr>
                  <w:tcW w:w="1115" w:type="dxa"/>
                  <w:vMerge w:val="continue"/>
                  <w:tcBorders>
                    <w:tl2br w:val="nil"/>
                    <w:tr2bl w:val="nil"/>
                  </w:tcBorders>
                  <w:vAlign w:val="center"/>
                </w:tcPr>
                <w:p>
                  <w:pPr>
                    <w:pStyle w:val="35"/>
                    <w:jc w:val="center"/>
                    <w:rPr>
                      <w:rFonts w:ascii="Times New Roman" w:hAnsi="Times New Roman"/>
                      <w:bCs w:val="0"/>
                      <w:szCs w:val="21"/>
                    </w:rPr>
                  </w:pPr>
                </w:p>
              </w:tc>
              <w:tc>
                <w:tcPr>
                  <w:tcW w:w="1005" w:type="dxa"/>
                  <w:tcBorders>
                    <w:tl2br w:val="nil"/>
                    <w:tr2bl w:val="nil"/>
                  </w:tcBorders>
                  <w:vAlign w:val="center"/>
                </w:tcPr>
                <w:p>
                  <w:pPr>
                    <w:pStyle w:val="35"/>
                    <w:jc w:val="center"/>
                    <w:rPr>
                      <w:rFonts w:ascii="Times New Roman" w:hAnsi="Times New Roman"/>
                      <w:bCs w:val="0"/>
                      <w:szCs w:val="21"/>
                    </w:rPr>
                  </w:pPr>
                  <w:r>
                    <w:rPr>
                      <w:rFonts w:ascii="Times New Roman" w:hAnsi="Times New Roman"/>
                      <w:szCs w:val="21"/>
                    </w:rPr>
                    <w:t>废UV灯管</w:t>
                  </w:r>
                </w:p>
              </w:tc>
              <w:tc>
                <w:tcPr>
                  <w:tcW w:w="87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HW29</w:t>
                  </w:r>
                </w:p>
              </w:tc>
              <w:tc>
                <w:tcPr>
                  <w:tcW w:w="825" w:type="dxa"/>
                  <w:tcBorders>
                    <w:tl2br w:val="nil"/>
                    <w:tr2bl w:val="nil"/>
                  </w:tcBorders>
                  <w:vAlign w:val="center"/>
                </w:tcPr>
                <w:p>
                  <w:pPr>
                    <w:pStyle w:val="35"/>
                    <w:jc w:val="center"/>
                    <w:rPr>
                      <w:rFonts w:ascii="Times New Roman" w:hAnsi="Times New Roman"/>
                      <w:bCs w:val="0"/>
                      <w:szCs w:val="21"/>
                    </w:rPr>
                  </w:pPr>
                  <w:r>
                    <w:rPr>
                      <w:rFonts w:ascii="Times New Roman" w:hAnsi="Times New Roman"/>
                      <w:kern w:val="24"/>
                      <w:szCs w:val="21"/>
                    </w:rPr>
                    <w:t>900-023-29</w:t>
                  </w:r>
                </w:p>
              </w:tc>
              <w:tc>
                <w:tcPr>
                  <w:tcW w:w="870" w:type="dxa"/>
                  <w:vMerge w:val="continue"/>
                  <w:tcBorders>
                    <w:tl2br w:val="nil"/>
                    <w:tr2bl w:val="nil"/>
                  </w:tcBorders>
                  <w:vAlign w:val="center"/>
                </w:tcPr>
                <w:p>
                  <w:pPr>
                    <w:pStyle w:val="35"/>
                    <w:jc w:val="center"/>
                    <w:rPr>
                      <w:rFonts w:ascii="Times New Roman" w:hAnsi="Times New Roman"/>
                      <w:bCs w:val="0"/>
                      <w:szCs w:val="21"/>
                    </w:rPr>
                  </w:pPr>
                </w:p>
              </w:tc>
              <w:tc>
                <w:tcPr>
                  <w:tcW w:w="750" w:type="dxa"/>
                  <w:vMerge w:val="continue"/>
                  <w:tcBorders>
                    <w:tl2br w:val="nil"/>
                    <w:tr2bl w:val="nil"/>
                  </w:tcBorders>
                  <w:vAlign w:val="center"/>
                </w:tcPr>
                <w:p>
                  <w:pPr>
                    <w:pStyle w:val="35"/>
                    <w:jc w:val="center"/>
                    <w:rPr>
                      <w:rFonts w:ascii="Times New Roman" w:hAnsi="Times New Roman"/>
                      <w:bCs w:val="0"/>
                      <w:szCs w:val="21"/>
                    </w:rPr>
                  </w:pPr>
                </w:p>
              </w:tc>
              <w:tc>
                <w:tcPr>
                  <w:tcW w:w="81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纸箱</w:t>
                  </w:r>
                </w:p>
              </w:tc>
              <w:tc>
                <w:tcPr>
                  <w:tcW w:w="780" w:type="dxa"/>
                  <w:tcBorders>
                    <w:tl2br w:val="nil"/>
                    <w:tr2bl w:val="nil"/>
                  </w:tcBorders>
                  <w:vAlign w:val="center"/>
                </w:tcPr>
                <w:p>
                  <w:pPr>
                    <w:pStyle w:val="35"/>
                    <w:jc w:val="center"/>
                    <w:rPr>
                      <w:rFonts w:ascii="Times New Roman" w:hAnsi="Times New Roman"/>
                      <w:bCs w:val="0"/>
                      <w:szCs w:val="21"/>
                    </w:rPr>
                  </w:pPr>
                  <w:r>
                    <w:rPr>
                      <w:rFonts w:ascii="Times New Roman" w:hAnsi="Times New Roman"/>
                      <w:bCs w:val="0"/>
                      <w:szCs w:val="21"/>
                    </w:rPr>
                    <w:t>0.5t</w:t>
                  </w:r>
                </w:p>
              </w:tc>
              <w:tc>
                <w:tcPr>
                  <w:tcW w:w="795" w:type="dxa"/>
                  <w:vMerge w:val="continue"/>
                  <w:tcBorders>
                    <w:tl2br w:val="nil"/>
                    <w:tr2bl w:val="nil"/>
                  </w:tcBorders>
                  <w:vAlign w:val="center"/>
                </w:tcPr>
                <w:p>
                  <w:pPr>
                    <w:pStyle w:val="35"/>
                    <w:jc w:val="center"/>
                    <w:rPr>
                      <w:rFonts w:ascii="Times New Roman" w:hAnsi="Times New Roman"/>
                      <w:bCs w:val="0"/>
                      <w:szCs w:val="21"/>
                    </w:rPr>
                  </w:pPr>
                </w:p>
              </w:tc>
            </w:tr>
          </w:tbl>
          <w:p>
            <w:pPr>
              <w:pStyle w:val="35"/>
              <w:spacing w:line="360" w:lineRule="auto"/>
              <w:ind w:firstLine="480" w:firstLineChars="200"/>
              <w:jc w:val="both"/>
              <w:rPr>
                <w:rFonts w:ascii="Times New Roman" w:hAnsi="Times New Roman"/>
                <w:bCs w:val="0"/>
                <w:sz w:val="24"/>
                <w:szCs w:val="24"/>
              </w:rPr>
            </w:pPr>
            <w:r>
              <w:rPr>
                <w:rFonts w:ascii="Times New Roman" w:hAnsi="Times New Roman"/>
                <w:bCs w:val="0"/>
                <w:sz w:val="24"/>
                <w:szCs w:val="24"/>
              </w:rPr>
              <w:t>（1）贮存</w:t>
            </w:r>
          </w:p>
          <w:p>
            <w:pPr>
              <w:pStyle w:val="35"/>
              <w:spacing w:line="360" w:lineRule="auto"/>
              <w:ind w:firstLine="480" w:firstLineChars="200"/>
              <w:jc w:val="both"/>
              <w:rPr>
                <w:rFonts w:ascii="Times New Roman" w:hAnsi="Times New Roman"/>
                <w:bCs w:val="0"/>
                <w:sz w:val="24"/>
                <w:szCs w:val="24"/>
              </w:rPr>
            </w:pPr>
            <w:r>
              <w:rPr>
                <w:rFonts w:ascii="Times New Roman" w:hAnsi="Times New Roman"/>
                <w:bCs w:val="0"/>
                <w:sz w:val="24"/>
                <w:szCs w:val="24"/>
              </w:rPr>
              <w:t>从上表可知，项目危险废物贮存场选址可行，场所贮存能力满足要求。项目危险废物通过各项污染防治措施，贮存符合相关要求，不会对周围环境空气、地表水、地下水、土壤以及环境敏感保护目标造成影响。</w:t>
            </w:r>
          </w:p>
          <w:p>
            <w:pPr>
              <w:pStyle w:val="35"/>
              <w:spacing w:line="360" w:lineRule="auto"/>
              <w:ind w:firstLine="480" w:firstLineChars="200"/>
              <w:jc w:val="both"/>
              <w:rPr>
                <w:rFonts w:ascii="Times New Roman" w:hAnsi="Times New Roman"/>
                <w:bCs w:val="0"/>
                <w:sz w:val="24"/>
                <w:szCs w:val="24"/>
              </w:rPr>
            </w:pPr>
            <w:r>
              <w:rPr>
                <w:rFonts w:ascii="Times New Roman" w:hAnsi="Times New Roman"/>
                <w:bCs w:val="0"/>
                <w:sz w:val="24"/>
                <w:szCs w:val="24"/>
              </w:rPr>
              <w:t>（2）运输</w:t>
            </w:r>
          </w:p>
          <w:p>
            <w:pPr>
              <w:pStyle w:val="35"/>
              <w:spacing w:line="360" w:lineRule="auto"/>
              <w:ind w:firstLine="480" w:firstLineChars="200"/>
              <w:jc w:val="both"/>
              <w:rPr>
                <w:rFonts w:ascii="Times New Roman" w:hAnsi="Times New Roman"/>
                <w:bCs w:val="0"/>
                <w:sz w:val="24"/>
                <w:szCs w:val="24"/>
              </w:rPr>
            </w:pPr>
            <w:r>
              <w:rPr>
                <w:rFonts w:ascii="Times New Roman" w:hAnsi="Times New Roman"/>
                <w:bCs w:val="0"/>
                <w:sz w:val="24"/>
                <w:szCs w:val="24"/>
              </w:rPr>
              <w:t>对危险废物的运输要求安全可靠，要严格按照危险废物运输的管理规定进行危险废物的运输，减少运输过程中的二次污染和可能造成的环境风险，运输车辆需有特殊标志。</w:t>
            </w:r>
          </w:p>
          <w:p>
            <w:pPr>
              <w:pStyle w:val="35"/>
              <w:spacing w:line="360" w:lineRule="auto"/>
              <w:ind w:firstLine="480" w:firstLineChars="200"/>
              <w:jc w:val="both"/>
              <w:rPr>
                <w:rFonts w:ascii="Times New Roman" w:hAnsi="Times New Roman"/>
                <w:bCs w:val="0"/>
                <w:sz w:val="24"/>
                <w:szCs w:val="24"/>
              </w:rPr>
            </w:pPr>
            <w:r>
              <w:rPr>
                <w:rFonts w:ascii="Times New Roman" w:hAnsi="Times New Roman"/>
                <w:bCs w:val="0"/>
                <w:sz w:val="24"/>
                <w:szCs w:val="24"/>
              </w:rPr>
              <w:t>（3）处置</w:t>
            </w:r>
          </w:p>
          <w:p>
            <w:pPr>
              <w:pStyle w:val="35"/>
              <w:spacing w:line="360" w:lineRule="auto"/>
              <w:ind w:firstLine="480" w:firstLineChars="200"/>
              <w:jc w:val="both"/>
              <w:rPr>
                <w:rFonts w:ascii="Times New Roman" w:hAnsi="Times New Roman"/>
                <w:bCs w:val="0"/>
                <w:sz w:val="24"/>
                <w:szCs w:val="24"/>
              </w:rPr>
            </w:pPr>
            <w:r>
              <w:rPr>
                <w:rFonts w:ascii="Times New Roman" w:hAnsi="Times New Roman"/>
                <w:bCs w:val="0"/>
                <w:sz w:val="24"/>
                <w:szCs w:val="24"/>
              </w:rPr>
              <w:t>建设单位拟将危险废物拟交由有危废处置资质单位处理。本项目</w:t>
            </w:r>
            <w:r>
              <w:rPr>
                <w:rFonts w:hint="eastAsia" w:ascii="Times New Roman" w:hAnsi="Times New Roman"/>
                <w:bCs w:val="0"/>
                <w:sz w:val="24"/>
                <w:szCs w:val="24"/>
              </w:rPr>
              <w:t>废活性炭</w:t>
            </w:r>
            <w:r>
              <w:rPr>
                <w:rFonts w:ascii="Times New Roman" w:hAnsi="Times New Roman"/>
                <w:bCs w:val="0"/>
                <w:sz w:val="24"/>
                <w:szCs w:val="24"/>
              </w:rPr>
              <w:t>产生量预计为</w:t>
            </w:r>
            <w:r>
              <w:rPr>
                <w:rFonts w:hint="eastAsia" w:ascii="Times New Roman" w:hAnsi="Times New Roman"/>
                <w:bCs w:val="0"/>
                <w:sz w:val="24"/>
                <w:szCs w:val="24"/>
              </w:rPr>
              <w:t>0.</w:t>
            </w:r>
            <w:r>
              <w:rPr>
                <w:rFonts w:hint="eastAsia" w:ascii="Times New Roman" w:hAnsi="Times New Roman"/>
                <w:bCs w:val="0"/>
                <w:sz w:val="24"/>
                <w:szCs w:val="24"/>
                <w:lang w:val="en-US" w:eastAsia="zh-CN"/>
              </w:rPr>
              <w:t>24</w:t>
            </w:r>
            <w:r>
              <w:rPr>
                <w:rFonts w:hint="eastAsia" w:ascii="Times New Roman" w:hAnsi="Times New Roman"/>
                <w:bCs w:val="0"/>
                <w:sz w:val="24"/>
                <w:szCs w:val="24"/>
              </w:rPr>
              <w:t>t/a</w:t>
            </w:r>
            <w:r>
              <w:rPr>
                <w:rFonts w:ascii="Times New Roman" w:hAnsi="Times New Roman"/>
                <w:bCs w:val="0"/>
                <w:sz w:val="24"/>
                <w:szCs w:val="24"/>
              </w:rPr>
              <w:t>，废UV灯管产生量</w:t>
            </w:r>
            <w:r>
              <w:rPr>
                <w:rFonts w:hint="eastAsia" w:ascii="Times New Roman" w:hAnsi="Times New Roman"/>
                <w:bCs w:val="0"/>
                <w:sz w:val="24"/>
                <w:szCs w:val="24"/>
              </w:rPr>
              <w:t>0.01t/a，</w:t>
            </w:r>
            <w:r>
              <w:rPr>
                <w:rFonts w:ascii="Times New Roman" w:hAnsi="Times New Roman"/>
                <w:bCs w:val="0"/>
                <w:sz w:val="24"/>
                <w:szCs w:val="24"/>
              </w:rPr>
              <w:t>危险废物委托处置的费用在建设单位可承受范围内。因此，本项目的危险废物防治措施在技术经济上是可行的。</w:t>
            </w:r>
          </w:p>
          <w:p>
            <w:pPr>
              <w:pStyle w:val="35"/>
              <w:spacing w:line="360" w:lineRule="auto"/>
              <w:ind w:firstLine="480" w:firstLineChars="200"/>
              <w:jc w:val="both"/>
              <w:rPr>
                <w:rFonts w:ascii="Times New Roman" w:hAnsi="Times New Roman"/>
                <w:bCs w:val="0"/>
                <w:sz w:val="24"/>
                <w:szCs w:val="24"/>
              </w:rPr>
            </w:pPr>
            <w:r>
              <w:rPr>
                <w:rFonts w:ascii="Times New Roman" w:hAnsi="Times New Roman"/>
                <w:bCs w:val="0"/>
                <w:sz w:val="24"/>
                <w:szCs w:val="24"/>
              </w:rPr>
              <w:t>根据《广东省危险废物产生单位危险废物规范化管理工作实施方案》，企业须根据管理台账和近年生产计划，制订危险废物管理计划，并报当地环保部门备案。台账应如实记载产生危险废物的种类、数量、利用、贮存、处置、流向等信息，以此作为向当地环保部门申报危险废物管理计划的的编制依据。产生的危险废物实行分类收集后置于贮存设施内，贮存时限一般不得超过一年，并设专人管理。盛装危险废物的容器和包装物以及产生、收集、贮存、运输、处置危险废物的场所，必须依法设置相应标识、警示标志和标签，标签上应注明贮存的废物类别、危害性以及开始贮存时间等内容。企业必须严格执行危险废物转移计划报批和依法运行危险废物转移联单，并通过信息系统登记转移计划和电子转移联单。企业还需健全产生单位内部管理制度，包括落实危险废物产生信息公开制度，建立员工培训和固体废物管理制度，完善危险废物相关档案管理制度；建立和完善突发危险废物环境应急预案，并报当地环保部门备案。</w:t>
            </w:r>
          </w:p>
          <w:p>
            <w:pPr>
              <w:pStyle w:val="35"/>
              <w:spacing w:line="360" w:lineRule="auto"/>
              <w:ind w:firstLine="480" w:firstLineChars="200"/>
              <w:jc w:val="both"/>
              <w:rPr>
                <w:rFonts w:ascii="Times New Roman" w:hAnsi="Times New Roman"/>
                <w:sz w:val="24"/>
                <w:szCs w:val="24"/>
              </w:rPr>
            </w:pPr>
            <w:r>
              <w:rPr>
                <w:rFonts w:ascii="Times New Roman" w:hAnsi="Times New Roman"/>
                <w:bCs w:val="0"/>
                <w:sz w:val="24"/>
                <w:szCs w:val="24"/>
              </w:rPr>
              <w:t>综上所述，危险废物按要求妥善处理后，对环境影响不明显。</w:t>
            </w:r>
          </w:p>
          <w:p>
            <w:pPr>
              <w:spacing w:line="360" w:lineRule="auto"/>
              <w:ind w:firstLine="482" w:firstLineChars="200"/>
              <w:rPr>
                <w:b/>
                <w:sz w:val="24"/>
              </w:rPr>
            </w:pPr>
            <w:r>
              <w:rPr>
                <w:rFonts w:hint="eastAsia"/>
                <w:b/>
                <w:sz w:val="24"/>
              </w:rPr>
              <w:t>5</w:t>
            </w:r>
            <w:r>
              <w:rPr>
                <w:b/>
                <w:sz w:val="24"/>
              </w:rPr>
              <w:t>、环境风险分析</w:t>
            </w:r>
          </w:p>
          <w:p>
            <w:pPr>
              <w:spacing w:line="360" w:lineRule="auto"/>
              <w:ind w:firstLine="480" w:firstLineChars="200"/>
              <w:rPr>
                <w:bCs/>
                <w:sz w:val="24"/>
              </w:rPr>
            </w:pPr>
            <w:r>
              <w:rPr>
                <w:bCs/>
                <w:sz w:val="24"/>
              </w:rPr>
              <w:t>环境风险评价的目的是分析和预测建设项目存在的潜在危险、有害因素，建设项目建设和运行期间可能发生的突发性事件或事故，引起有毒有害和易燃易爆等物质的泄漏，所造成的人身安全与环境影响和损害程度，提出合理可行的防范、应急与减缓措施，以使建设项目事故率、损失和环境影响达到可接受的水平。</w:t>
            </w:r>
          </w:p>
          <w:p>
            <w:pPr>
              <w:spacing w:line="360" w:lineRule="auto"/>
              <w:ind w:firstLine="482" w:firstLineChars="200"/>
              <w:rPr>
                <w:b/>
                <w:sz w:val="24"/>
              </w:rPr>
            </w:pPr>
            <w:r>
              <w:rPr>
                <w:rFonts w:hint="eastAsia"/>
                <w:b/>
                <w:sz w:val="24"/>
              </w:rPr>
              <w:t>（</w:t>
            </w:r>
            <w:r>
              <w:rPr>
                <w:b/>
                <w:sz w:val="24"/>
              </w:rPr>
              <w:t>1</w:t>
            </w:r>
            <w:r>
              <w:rPr>
                <w:rFonts w:hint="eastAsia"/>
                <w:b/>
                <w:sz w:val="24"/>
              </w:rPr>
              <w:t>）</w:t>
            </w:r>
            <w:r>
              <w:rPr>
                <w:b/>
                <w:sz w:val="24"/>
              </w:rPr>
              <w:t>风险调查</w:t>
            </w:r>
          </w:p>
          <w:p>
            <w:pPr>
              <w:pStyle w:val="30"/>
              <w:spacing w:before="0" w:after="0" w:line="360" w:lineRule="auto"/>
              <w:ind w:firstLine="480"/>
              <w:rPr>
                <w:color w:val="000000"/>
                <w:sz w:val="24"/>
                <w:szCs w:val="24"/>
              </w:rPr>
            </w:pPr>
            <w:r>
              <w:rPr>
                <w:color w:val="000000"/>
                <w:sz w:val="24"/>
                <w:szCs w:val="24"/>
              </w:rPr>
              <w:t>参照《常用危险品的分类及标志》（GB13690-92）和《危险货物分类和品名编号》（GB6944-2005），我国将危险化学品按其危险性划分为8类21项：第1类，爆炸品；第2类，压缩气体和液化气体；第3类，易燃液体；第4类，易燃固体、自燃物品和遇湿易燃物品；第5类，氧化剂和有机过氧化物；第6类，毒害品和感染性物品；第7类，放射性物品；第8类，腐蚀品。根据前面内容分析，同时</w:t>
            </w:r>
            <w:r>
              <w:rPr>
                <w:sz w:val="24"/>
                <w:szCs w:val="24"/>
              </w:rPr>
              <w:t>对照《建设项目环境风险评价技术导则》（HJ169-2018）附录B，</w:t>
            </w:r>
            <w:r>
              <w:rPr>
                <w:color w:val="000000"/>
                <w:sz w:val="24"/>
                <w:szCs w:val="24"/>
              </w:rPr>
              <w:t>项目主要的原辅料为：</w:t>
            </w:r>
            <w:r>
              <w:rPr>
                <w:rFonts w:hint="eastAsia"/>
                <w:color w:val="000000"/>
                <w:sz w:val="24"/>
                <w:szCs w:val="24"/>
              </w:rPr>
              <w:t>五金件、粉末涂料</w:t>
            </w:r>
            <w:r>
              <w:rPr>
                <w:color w:val="000000"/>
                <w:sz w:val="24"/>
                <w:szCs w:val="24"/>
              </w:rPr>
              <w:t>等，无以上所列的危险化学品。</w:t>
            </w:r>
          </w:p>
          <w:p>
            <w:pPr>
              <w:pStyle w:val="20"/>
              <w:spacing w:line="360" w:lineRule="auto"/>
              <w:ind w:firstLine="424" w:firstLineChars="177"/>
              <w:jc w:val="both"/>
              <w:rPr>
                <w:rFonts w:ascii="Times New Roman"/>
              </w:rPr>
            </w:pPr>
            <w:r>
              <w:rPr>
                <w:rFonts w:ascii="Times New Roman"/>
              </w:rPr>
              <w:t>建设项目环境风险潜势划分为Ⅰ、Ⅱ、Ⅲ、Ⅳ、Ⅳ</w:t>
            </w:r>
            <w:r>
              <w:rPr>
                <w:rFonts w:ascii="Times New Roman"/>
                <w:vertAlign w:val="superscript"/>
              </w:rPr>
              <w:t>+</w:t>
            </w:r>
            <w:r>
              <w:rPr>
                <w:rFonts w:ascii="Times New Roman"/>
              </w:rPr>
              <w:t>级别。</w:t>
            </w:r>
          </w:p>
          <w:p>
            <w:pPr>
              <w:pStyle w:val="20"/>
              <w:spacing w:line="360" w:lineRule="auto"/>
              <w:ind w:firstLine="424" w:firstLineChars="177"/>
              <w:jc w:val="both"/>
              <w:rPr>
                <w:rFonts w:ascii="Times New Roman"/>
              </w:rPr>
            </w:pPr>
            <w:r>
              <w:rPr>
                <w:rFonts w:ascii="Times New Roman"/>
              </w:rPr>
              <w:t>根据建设项目涉及的物质和工艺系统的危险性及其所在地的环境敏感程度，结合事故情形下环境影响途径，对建设项目潜在环境危害程度进行概化分析，按照</w:t>
            </w:r>
            <w:r>
              <w:rPr>
                <w:rFonts w:hint="eastAsia" w:ascii="Times New Roman"/>
                <w:lang w:val="en-US" w:eastAsia="zh-CN"/>
              </w:rPr>
              <w:t>下表</w:t>
            </w:r>
            <w:r>
              <w:rPr>
                <w:rFonts w:ascii="Times New Roman"/>
              </w:rPr>
              <w:t>确定环境风险潜势。</w:t>
            </w:r>
          </w:p>
          <w:p>
            <w:pPr>
              <w:pStyle w:val="31"/>
              <w:spacing w:line="360" w:lineRule="auto"/>
              <w:ind w:firstLine="422"/>
              <w:jc w:val="center"/>
              <w:rPr>
                <w:rFonts w:ascii="Times New Roman" w:hAnsi="Times New Roman"/>
                <w:szCs w:val="21"/>
              </w:rPr>
            </w:pPr>
            <w:r>
              <w:rPr>
                <w:rFonts w:ascii="Times New Roman" w:hAnsi="Times New Roman"/>
                <w:b/>
                <w:szCs w:val="21"/>
              </w:rPr>
              <w:t>表7-</w:t>
            </w:r>
            <w:r>
              <w:rPr>
                <w:rFonts w:hint="eastAsia" w:ascii="Times New Roman" w:hAnsi="Times New Roman"/>
                <w:b/>
                <w:szCs w:val="21"/>
                <w:lang w:val="en-US" w:eastAsia="zh-CN"/>
              </w:rPr>
              <w:t xml:space="preserve">20  </w:t>
            </w:r>
            <w:r>
              <w:rPr>
                <w:rFonts w:ascii="Times New Roman" w:hAnsi="Times New Roman"/>
                <w:b/>
                <w:szCs w:val="21"/>
              </w:rPr>
              <w:t xml:space="preserve"> 环境风险潜势划分</w:t>
            </w:r>
          </w:p>
          <w:tbl>
            <w:tblPr>
              <w:tblStyle w:val="15"/>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9"/>
              <w:gridCol w:w="1500"/>
              <w:gridCol w:w="1500"/>
              <w:gridCol w:w="1530"/>
              <w:gridCol w:w="15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jc w:val="center"/>
              </w:trPr>
              <w:tc>
                <w:tcPr>
                  <w:tcW w:w="2239" w:type="dxa"/>
                  <w:vMerge w:val="restart"/>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color w:val="000000"/>
                      <w:szCs w:val="21"/>
                    </w:rPr>
                    <w:t>环境敏感程度（E）</w:t>
                  </w:r>
                </w:p>
              </w:tc>
              <w:tc>
                <w:tcPr>
                  <w:tcW w:w="6057" w:type="dxa"/>
                  <w:gridSpan w:val="4"/>
                  <w:vAlign w:val="center"/>
                </w:tcPr>
                <w:p>
                  <w:pPr>
                    <w:adjustRightInd w:val="0"/>
                    <w:snapToGrid w:val="0"/>
                    <w:jc w:val="center"/>
                    <w:rPr>
                      <w:color w:val="000000"/>
                      <w:szCs w:val="21"/>
                    </w:rPr>
                  </w:pPr>
                  <w:r>
                    <w:rPr>
                      <w:color w:val="000000"/>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2239" w:type="dxa"/>
                  <w:vMerge w:val="continue"/>
                  <w:vAlign w:val="center"/>
                </w:tcPr>
                <w:p>
                  <w:pPr>
                    <w:pStyle w:val="32"/>
                    <w:snapToGrid w:val="0"/>
                    <w:spacing w:beforeLines="0" w:afterLines="0"/>
                    <w:rPr>
                      <w:rFonts w:ascii="Times New Roman" w:hAnsi="Times New Roman" w:cs="Times New Roman"/>
                      <w:color w:val="000000"/>
                      <w:szCs w:val="21"/>
                    </w:rPr>
                  </w:pPr>
                </w:p>
              </w:tc>
              <w:tc>
                <w:tcPr>
                  <w:tcW w:w="1500"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color w:val="000000"/>
                      <w:szCs w:val="21"/>
                    </w:rPr>
                    <w:t>极高危害（P1）</w:t>
                  </w:r>
                </w:p>
              </w:tc>
              <w:tc>
                <w:tcPr>
                  <w:tcW w:w="1500"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color w:val="000000"/>
                      <w:szCs w:val="21"/>
                    </w:rPr>
                    <w:t>极高危害（P1）</w:t>
                  </w:r>
                </w:p>
              </w:tc>
              <w:tc>
                <w:tcPr>
                  <w:tcW w:w="1530" w:type="dxa"/>
                  <w:vAlign w:val="center"/>
                </w:tcPr>
                <w:p>
                  <w:pPr>
                    <w:adjustRightInd w:val="0"/>
                    <w:snapToGrid w:val="0"/>
                    <w:jc w:val="center"/>
                    <w:rPr>
                      <w:color w:val="000000"/>
                      <w:szCs w:val="21"/>
                    </w:rPr>
                  </w:pPr>
                  <w:r>
                    <w:rPr>
                      <w:color w:val="000000"/>
                      <w:szCs w:val="21"/>
                    </w:rPr>
                    <w:t>中度危害（P1）</w:t>
                  </w:r>
                </w:p>
              </w:tc>
              <w:tc>
                <w:tcPr>
                  <w:tcW w:w="1527" w:type="dxa"/>
                  <w:vAlign w:val="center"/>
                </w:tcPr>
                <w:p>
                  <w:pPr>
                    <w:jc w:val="center"/>
                    <w:rPr>
                      <w:color w:val="000000"/>
                      <w:szCs w:val="21"/>
                    </w:rPr>
                  </w:pPr>
                  <w:r>
                    <w:rPr>
                      <w:color w:val="000000"/>
                      <w:szCs w:val="21"/>
                    </w:rPr>
                    <w:t>轻度危害（P1）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8" w:hRule="atLeast"/>
                <w:jc w:val="center"/>
              </w:trPr>
              <w:tc>
                <w:tcPr>
                  <w:tcW w:w="2239"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color w:val="000000"/>
                      <w:szCs w:val="21"/>
                    </w:rPr>
                    <w:t>环境高度敏感区（E1）</w:t>
                  </w:r>
                </w:p>
              </w:tc>
              <w:tc>
                <w:tcPr>
                  <w:tcW w:w="1500"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szCs w:val="21"/>
                    </w:rPr>
                    <w:t>Ⅳ</w:t>
                  </w:r>
                  <w:r>
                    <w:rPr>
                      <w:rFonts w:ascii="Times New Roman" w:hAnsi="Times New Roman" w:cs="Times New Roman"/>
                      <w:szCs w:val="21"/>
                      <w:vertAlign w:val="superscript"/>
                    </w:rPr>
                    <w:t>+</w:t>
                  </w:r>
                </w:p>
              </w:tc>
              <w:tc>
                <w:tcPr>
                  <w:tcW w:w="1500"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szCs w:val="21"/>
                    </w:rPr>
                    <w:t>Ⅳ</w:t>
                  </w:r>
                </w:p>
              </w:tc>
              <w:tc>
                <w:tcPr>
                  <w:tcW w:w="1530" w:type="dxa"/>
                  <w:vAlign w:val="center"/>
                </w:tcPr>
                <w:p>
                  <w:pPr>
                    <w:adjustRightInd w:val="0"/>
                    <w:snapToGrid w:val="0"/>
                    <w:jc w:val="center"/>
                    <w:rPr>
                      <w:color w:val="000000"/>
                      <w:szCs w:val="21"/>
                    </w:rPr>
                  </w:pPr>
                  <w:r>
                    <w:rPr>
                      <w:szCs w:val="21"/>
                    </w:rPr>
                    <w:t>Ⅲ</w:t>
                  </w:r>
                </w:p>
              </w:tc>
              <w:tc>
                <w:tcPr>
                  <w:tcW w:w="1527" w:type="dxa"/>
                  <w:vAlign w:val="center"/>
                </w:tcPr>
                <w:p>
                  <w:pPr>
                    <w:jc w:val="center"/>
                    <w:rPr>
                      <w:color w:val="000000"/>
                      <w:szCs w:val="21"/>
                    </w:rPr>
                  </w:pPr>
                  <w:r>
                    <w:rPr>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8" w:hRule="atLeast"/>
                <w:jc w:val="center"/>
              </w:trPr>
              <w:tc>
                <w:tcPr>
                  <w:tcW w:w="2239"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color w:val="000000"/>
                      <w:szCs w:val="21"/>
                    </w:rPr>
                    <w:t>环境中度敏感区（E2）</w:t>
                  </w:r>
                </w:p>
              </w:tc>
              <w:tc>
                <w:tcPr>
                  <w:tcW w:w="1500"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szCs w:val="21"/>
                    </w:rPr>
                    <w:t>Ⅳ</w:t>
                  </w:r>
                </w:p>
              </w:tc>
              <w:tc>
                <w:tcPr>
                  <w:tcW w:w="1500"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szCs w:val="21"/>
                    </w:rPr>
                    <w:t>Ⅲ</w:t>
                  </w:r>
                </w:p>
              </w:tc>
              <w:tc>
                <w:tcPr>
                  <w:tcW w:w="1530" w:type="dxa"/>
                  <w:vAlign w:val="center"/>
                </w:tcPr>
                <w:p>
                  <w:pPr>
                    <w:adjustRightInd w:val="0"/>
                    <w:snapToGrid w:val="0"/>
                    <w:jc w:val="center"/>
                    <w:rPr>
                      <w:color w:val="000000"/>
                      <w:szCs w:val="21"/>
                    </w:rPr>
                  </w:pPr>
                  <w:r>
                    <w:rPr>
                      <w:szCs w:val="21"/>
                    </w:rPr>
                    <w:t>Ⅲ</w:t>
                  </w:r>
                </w:p>
              </w:tc>
              <w:tc>
                <w:tcPr>
                  <w:tcW w:w="1527" w:type="dxa"/>
                  <w:vAlign w:val="center"/>
                </w:tcPr>
                <w:p>
                  <w:pPr>
                    <w:jc w:val="center"/>
                    <w:rPr>
                      <w:color w:val="000000"/>
                      <w:szCs w:val="21"/>
                    </w:rPr>
                  </w:pPr>
                  <w:r>
                    <w:rPr>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8" w:hRule="atLeast"/>
                <w:jc w:val="center"/>
              </w:trPr>
              <w:tc>
                <w:tcPr>
                  <w:tcW w:w="2239"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color w:val="000000"/>
                      <w:szCs w:val="21"/>
                    </w:rPr>
                    <w:t>环境低度敏感区（E3）</w:t>
                  </w:r>
                </w:p>
              </w:tc>
              <w:tc>
                <w:tcPr>
                  <w:tcW w:w="1500"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szCs w:val="21"/>
                    </w:rPr>
                    <w:t>Ⅲ</w:t>
                  </w:r>
                </w:p>
              </w:tc>
              <w:tc>
                <w:tcPr>
                  <w:tcW w:w="1500" w:type="dxa"/>
                  <w:vAlign w:val="center"/>
                </w:tcPr>
                <w:p>
                  <w:pPr>
                    <w:pStyle w:val="32"/>
                    <w:snapToGrid w:val="0"/>
                    <w:spacing w:beforeLines="0" w:afterLines="0"/>
                    <w:rPr>
                      <w:rFonts w:ascii="Times New Roman" w:hAnsi="Times New Roman" w:cs="Times New Roman"/>
                      <w:color w:val="000000"/>
                      <w:szCs w:val="21"/>
                    </w:rPr>
                  </w:pPr>
                  <w:r>
                    <w:rPr>
                      <w:rFonts w:ascii="Times New Roman" w:hAnsi="Times New Roman" w:cs="Times New Roman"/>
                      <w:szCs w:val="21"/>
                    </w:rPr>
                    <w:t>Ⅲ</w:t>
                  </w:r>
                </w:p>
              </w:tc>
              <w:tc>
                <w:tcPr>
                  <w:tcW w:w="1530" w:type="dxa"/>
                  <w:vAlign w:val="center"/>
                </w:tcPr>
                <w:p>
                  <w:pPr>
                    <w:adjustRightInd w:val="0"/>
                    <w:snapToGrid w:val="0"/>
                    <w:jc w:val="center"/>
                    <w:rPr>
                      <w:color w:val="000000"/>
                      <w:szCs w:val="21"/>
                    </w:rPr>
                  </w:pPr>
                  <w:r>
                    <w:rPr>
                      <w:szCs w:val="21"/>
                    </w:rPr>
                    <w:t>Ⅱ</w:t>
                  </w:r>
                </w:p>
              </w:tc>
              <w:tc>
                <w:tcPr>
                  <w:tcW w:w="1527" w:type="dxa"/>
                  <w:vAlign w:val="center"/>
                </w:tcPr>
                <w:p>
                  <w:pPr>
                    <w:jc w:val="center"/>
                    <w:rPr>
                      <w:color w:val="000000"/>
                      <w:szCs w:val="21"/>
                    </w:rPr>
                  </w:pPr>
                  <w:r>
                    <w:rPr>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8" w:hRule="atLeast"/>
                <w:jc w:val="center"/>
              </w:trPr>
              <w:tc>
                <w:tcPr>
                  <w:tcW w:w="8296" w:type="dxa"/>
                  <w:gridSpan w:val="5"/>
                  <w:vAlign w:val="center"/>
                </w:tcPr>
                <w:p>
                  <w:pPr>
                    <w:rPr>
                      <w:szCs w:val="21"/>
                    </w:rPr>
                  </w:pPr>
                  <w:r>
                    <w:rPr>
                      <w:color w:val="000000"/>
                      <w:szCs w:val="21"/>
                    </w:rPr>
                    <w:t>注：</w:t>
                  </w:r>
                  <w:r>
                    <w:rPr>
                      <w:szCs w:val="21"/>
                    </w:rPr>
                    <w:t>Ⅳ</w:t>
                  </w:r>
                  <w:r>
                    <w:rPr>
                      <w:szCs w:val="21"/>
                      <w:vertAlign w:val="superscript"/>
                    </w:rPr>
                    <w:t>+</w:t>
                  </w:r>
                  <w:r>
                    <w:rPr>
                      <w:szCs w:val="21"/>
                    </w:rPr>
                    <w:t>为极高环境风险</w:t>
                  </w:r>
                </w:p>
                <w:p>
                  <w:pPr>
                    <w:pStyle w:val="20"/>
                    <w:jc w:val="both"/>
                    <w:rPr>
                      <w:rFonts w:ascii="Times New Roman"/>
                      <w:sz w:val="21"/>
                      <w:szCs w:val="21"/>
                    </w:rPr>
                  </w:pPr>
                  <w:r>
                    <w:rPr>
                      <w:rFonts w:ascii="Times New Roman"/>
                      <w:sz w:val="21"/>
                      <w:szCs w:val="21"/>
                    </w:rPr>
                    <w:t>P的分级确定：参见导则（HJ169-2018）中附录B确定危险物质的临界量，定量分析危险物质数量与临界量的比值（Q）和所属行业生产工艺特点（M），按附录C对危险物质及工艺系统危险性（P）等级进行判断。</w:t>
                  </w:r>
                </w:p>
                <w:p>
                  <w:pPr>
                    <w:pStyle w:val="20"/>
                    <w:jc w:val="both"/>
                    <w:rPr>
                      <w:rFonts w:ascii="Times New Roman"/>
                    </w:rPr>
                  </w:pPr>
                  <w:r>
                    <w:rPr>
                      <w:rFonts w:ascii="Times New Roman"/>
                      <w:sz w:val="21"/>
                      <w:szCs w:val="21"/>
                    </w:rPr>
                    <w:t>E的分级确定：按照导则（HJ169-2018）中附录D对各要素环境敏感程度（E）等级进行判断。</w:t>
                  </w:r>
                </w:p>
              </w:tc>
            </w:tr>
          </w:tbl>
          <w:p>
            <w:pPr>
              <w:pStyle w:val="20"/>
              <w:spacing w:line="360" w:lineRule="auto"/>
              <w:ind w:firstLine="424" w:firstLineChars="177"/>
              <w:jc w:val="both"/>
              <w:rPr>
                <w:rFonts w:ascii="Times New Roman"/>
                <w:bCs/>
              </w:rPr>
            </w:pPr>
            <w:r>
              <w:rPr>
                <w:rFonts w:ascii="Times New Roman"/>
                <w:bCs/>
              </w:rPr>
              <w:t>本项目P的分级确定：本项目未涉及危险化学品的使用，可判定项目涉及危险化学品储存量与临界量比值之和Q值为0，小于1，直接判定本项目环境风险潜势为Ⅰ级别。</w:t>
            </w:r>
          </w:p>
          <w:p>
            <w:pPr>
              <w:pStyle w:val="20"/>
              <w:spacing w:line="360" w:lineRule="auto"/>
              <w:ind w:firstLine="424" w:firstLineChars="177"/>
              <w:jc w:val="both"/>
              <w:rPr>
                <w:rFonts w:ascii="Times New Roman"/>
                <w:bCs/>
              </w:rPr>
            </w:pPr>
            <w:r>
              <w:rPr>
                <w:rFonts w:ascii="Times New Roman"/>
                <w:bCs/>
              </w:rPr>
              <w:t>本项目E的分级确定：本项目涉及危险化学品储存量与临界量比值之和Q值为0，小于1，直接判定本项目环境风险潜势为Ⅰ级别，不再进行E的分级判定。</w:t>
            </w:r>
          </w:p>
          <w:p>
            <w:pPr>
              <w:pStyle w:val="20"/>
              <w:spacing w:line="360" w:lineRule="auto"/>
              <w:ind w:firstLine="424" w:firstLineChars="177"/>
              <w:jc w:val="both"/>
              <w:rPr>
                <w:rFonts w:ascii="Times New Roman"/>
              </w:rPr>
            </w:pPr>
            <w:r>
              <w:rPr>
                <w:rFonts w:ascii="Times New Roman"/>
                <w:bCs/>
              </w:rPr>
              <w:t>环境风险评价等级：</w:t>
            </w:r>
            <w:r>
              <w:rPr>
                <w:rFonts w:ascii="Times New Roman"/>
              </w:rPr>
              <w:t>本项目环境风险潜势为Ⅰ级别，不设风险评价等级，可开展简单分析。</w:t>
            </w:r>
          </w:p>
          <w:p>
            <w:pPr>
              <w:pStyle w:val="20"/>
              <w:spacing w:line="360" w:lineRule="auto"/>
              <w:ind w:firstLine="482" w:firstLineChars="200"/>
              <w:jc w:val="both"/>
              <w:rPr>
                <w:rFonts w:ascii="Times New Roman"/>
                <w:b/>
                <w:bCs/>
              </w:rPr>
            </w:pPr>
            <w:r>
              <w:rPr>
                <w:rFonts w:hint="eastAsia" w:ascii="Times New Roman"/>
                <w:b/>
                <w:bCs/>
              </w:rPr>
              <w:t>（</w:t>
            </w:r>
            <w:r>
              <w:rPr>
                <w:rFonts w:ascii="Times New Roman"/>
                <w:b/>
                <w:bCs/>
              </w:rPr>
              <w:t>2</w:t>
            </w:r>
            <w:r>
              <w:rPr>
                <w:rFonts w:hint="eastAsia" w:ascii="Times New Roman"/>
                <w:b/>
                <w:bCs/>
              </w:rPr>
              <w:t>）</w:t>
            </w:r>
            <w:r>
              <w:rPr>
                <w:rFonts w:ascii="Times New Roman"/>
                <w:b/>
                <w:bCs/>
              </w:rPr>
              <w:t>环境敏感目标概况</w:t>
            </w:r>
          </w:p>
          <w:p>
            <w:pPr>
              <w:pStyle w:val="20"/>
              <w:spacing w:line="360" w:lineRule="auto"/>
              <w:ind w:firstLine="424" w:firstLineChars="177"/>
              <w:jc w:val="both"/>
              <w:rPr>
                <w:rFonts w:ascii="Times New Roman"/>
              </w:rPr>
            </w:pPr>
            <w:r>
              <w:rPr>
                <w:rFonts w:ascii="Times New Roman"/>
              </w:rPr>
              <w:t>本项目不涉及危险物质，生产过程中可能发生火灾的情况对周边环境敏感目标产生影响，周边环境风险敏感目标见下表所示。</w:t>
            </w:r>
          </w:p>
          <w:p>
            <w:pPr>
              <w:pStyle w:val="31"/>
              <w:jc w:val="center"/>
              <w:rPr>
                <w:rFonts w:ascii="Times New Roman" w:hAnsi="Times New Roman"/>
                <w:b/>
                <w:bCs/>
                <w:szCs w:val="21"/>
              </w:rPr>
            </w:pPr>
            <w:r>
              <w:rPr>
                <w:rFonts w:ascii="Times New Roman" w:hAnsi="Times New Roman"/>
                <w:b/>
                <w:bCs/>
                <w:szCs w:val="21"/>
              </w:rPr>
              <w:t>表7-</w:t>
            </w:r>
            <w:r>
              <w:rPr>
                <w:rFonts w:hint="eastAsia" w:ascii="Times New Roman" w:hAnsi="Times New Roman"/>
                <w:b/>
                <w:bCs/>
                <w:szCs w:val="21"/>
                <w:lang w:val="en-US" w:eastAsia="zh-CN"/>
              </w:rPr>
              <w:t xml:space="preserve">21 </w:t>
            </w:r>
            <w:r>
              <w:rPr>
                <w:rFonts w:ascii="Times New Roman" w:hAnsi="Times New Roman"/>
                <w:b/>
                <w:bCs/>
                <w:szCs w:val="21"/>
              </w:rPr>
              <w:t xml:space="preserve"> 环境风险敏感目标分布</w:t>
            </w:r>
          </w:p>
          <w:tbl>
            <w:tblPr>
              <w:tblStyle w:val="15"/>
              <w:tblW w:w="8296"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84"/>
              <w:gridCol w:w="1935"/>
              <w:gridCol w:w="1050"/>
              <w:gridCol w:w="1290"/>
              <w:gridCol w:w="293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12" w:hRule="atLeast"/>
                <w:jc w:val="center"/>
              </w:trPr>
              <w:tc>
                <w:tcPr>
                  <w:tcW w:w="1084" w:type="dxa"/>
                  <w:vAlign w:val="center"/>
                </w:tcPr>
                <w:p>
                  <w:pPr>
                    <w:jc w:val="center"/>
                    <w:rPr>
                      <w:szCs w:val="21"/>
                    </w:rPr>
                  </w:pPr>
                  <w:r>
                    <w:rPr>
                      <w:szCs w:val="21"/>
                    </w:rPr>
                    <w:t>环境要素</w:t>
                  </w:r>
                </w:p>
              </w:tc>
              <w:tc>
                <w:tcPr>
                  <w:tcW w:w="1935" w:type="dxa"/>
                  <w:vAlign w:val="center"/>
                </w:tcPr>
                <w:p>
                  <w:pPr>
                    <w:jc w:val="center"/>
                    <w:rPr>
                      <w:szCs w:val="21"/>
                    </w:rPr>
                  </w:pPr>
                  <w:r>
                    <w:rPr>
                      <w:szCs w:val="21"/>
                    </w:rPr>
                    <w:t>保护目标</w:t>
                  </w:r>
                </w:p>
              </w:tc>
              <w:tc>
                <w:tcPr>
                  <w:tcW w:w="1050" w:type="dxa"/>
                  <w:vAlign w:val="center"/>
                </w:tcPr>
                <w:p>
                  <w:pPr>
                    <w:jc w:val="center"/>
                    <w:rPr>
                      <w:szCs w:val="21"/>
                    </w:rPr>
                  </w:pPr>
                  <w:r>
                    <w:rPr>
                      <w:szCs w:val="21"/>
                    </w:rPr>
                    <w:t>距离</w:t>
                  </w:r>
                </w:p>
              </w:tc>
              <w:tc>
                <w:tcPr>
                  <w:tcW w:w="1290" w:type="dxa"/>
                  <w:vAlign w:val="center"/>
                </w:tcPr>
                <w:p>
                  <w:pPr>
                    <w:jc w:val="center"/>
                    <w:rPr>
                      <w:szCs w:val="21"/>
                    </w:rPr>
                  </w:pPr>
                  <w:r>
                    <w:rPr>
                      <w:szCs w:val="21"/>
                    </w:rPr>
                    <w:t>方位</w:t>
                  </w:r>
                </w:p>
              </w:tc>
              <w:tc>
                <w:tcPr>
                  <w:tcW w:w="2937" w:type="dxa"/>
                  <w:vAlign w:val="center"/>
                </w:tcPr>
                <w:p>
                  <w:pPr>
                    <w:jc w:val="center"/>
                    <w:rPr>
                      <w:szCs w:val="21"/>
                    </w:rPr>
                  </w:pPr>
                  <w:r>
                    <w:rPr>
                      <w:szCs w:val="21"/>
                    </w:rPr>
                    <w:t>影响途径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1084" w:type="dxa"/>
                  <w:vMerge w:val="restart"/>
                  <w:vAlign w:val="center"/>
                </w:tcPr>
                <w:p>
                  <w:pPr>
                    <w:jc w:val="center"/>
                    <w:rPr>
                      <w:szCs w:val="21"/>
                    </w:rPr>
                  </w:pPr>
                  <w:r>
                    <w:rPr>
                      <w:szCs w:val="21"/>
                    </w:rPr>
                    <w:t>大气环境</w:t>
                  </w:r>
                </w:p>
              </w:tc>
              <w:tc>
                <w:tcPr>
                  <w:tcW w:w="1935" w:type="dxa"/>
                  <w:tcBorders>
                    <w:bottom w:val="single" w:color="auto" w:sz="4" w:space="0"/>
                  </w:tcBorders>
                  <w:vAlign w:val="center"/>
                </w:tcPr>
                <w:p>
                  <w:pPr>
                    <w:jc w:val="center"/>
                    <w:rPr>
                      <w:szCs w:val="21"/>
                    </w:rPr>
                  </w:pPr>
                  <w:r>
                    <w:rPr>
                      <w:rFonts w:hint="eastAsia"/>
                      <w:szCs w:val="21"/>
                    </w:rPr>
                    <w:t>西湖</w:t>
                  </w:r>
                  <w:r>
                    <w:rPr>
                      <w:szCs w:val="21"/>
                    </w:rPr>
                    <w:t>村</w:t>
                  </w:r>
                </w:p>
              </w:tc>
              <w:tc>
                <w:tcPr>
                  <w:tcW w:w="1050" w:type="dxa"/>
                  <w:tcBorders>
                    <w:bottom w:val="single" w:color="auto" w:sz="4" w:space="0"/>
                  </w:tcBorders>
                  <w:vAlign w:val="center"/>
                </w:tcPr>
                <w:p>
                  <w:pPr>
                    <w:jc w:val="center"/>
                    <w:rPr>
                      <w:szCs w:val="21"/>
                    </w:rPr>
                  </w:pPr>
                  <w:r>
                    <w:rPr>
                      <w:rFonts w:hint="eastAsia"/>
                      <w:szCs w:val="21"/>
                    </w:rPr>
                    <w:t>12</w:t>
                  </w:r>
                  <w:r>
                    <w:rPr>
                      <w:szCs w:val="21"/>
                    </w:rPr>
                    <w:t>0m</w:t>
                  </w:r>
                </w:p>
              </w:tc>
              <w:tc>
                <w:tcPr>
                  <w:tcW w:w="1290" w:type="dxa"/>
                  <w:tcBorders>
                    <w:bottom w:val="single" w:color="auto" w:sz="4" w:space="0"/>
                  </w:tcBorders>
                  <w:vAlign w:val="center"/>
                </w:tcPr>
                <w:p>
                  <w:pPr>
                    <w:jc w:val="center"/>
                    <w:rPr>
                      <w:szCs w:val="21"/>
                    </w:rPr>
                  </w:pPr>
                  <w:r>
                    <w:rPr>
                      <w:szCs w:val="21"/>
                    </w:rPr>
                    <w:t>东南</w:t>
                  </w:r>
                </w:p>
              </w:tc>
              <w:tc>
                <w:tcPr>
                  <w:tcW w:w="2937" w:type="dxa"/>
                  <w:vMerge w:val="restart"/>
                  <w:vAlign w:val="center"/>
                </w:tcPr>
                <w:p>
                  <w:pPr>
                    <w:jc w:val="center"/>
                    <w:rPr>
                      <w:bCs/>
                      <w:szCs w:val="21"/>
                    </w:rPr>
                  </w:pPr>
                  <w:r>
                    <w:rPr>
                      <w:color w:val="000000"/>
                      <w:szCs w:val="21"/>
                    </w:rPr>
                    <w:t>发生火灾情况下有害气体扩散至敏感目标位置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2" w:hRule="atLeast"/>
                <w:jc w:val="center"/>
              </w:trPr>
              <w:tc>
                <w:tcPr>
                  <w:tcW w:w="1084" w:type="dxa"/>
                  <w:vMerge w:val="continue"/>
                  <w:vAlign w:val="center"/>
                </w:tcPr>
                <w:p>
                  <w:pPr>
                    <w:jc w:val="center"/>
                    <w:rPr>
                      <w:szCs w:val="21"/>
                    </w:rPr>
                  </w:pPr>
                </w:p>
              </w:tc>
              <w:tc>
                <w:tcPr>
                  <w:tcW w:w="1935" w:type="dxa"/>
                  <w:vAlign w:val="center"/>
                </w:tcPr>
                <w:p>
                  <w:pPr>
                    <w:jc w:val="center"/>
                    <w:rPr>
                      <w:szCs w:val="21"/>
                    </w:rPr>
                  </w:pPr>
                  <w:r>
                    <w:rPr>
                      <w:rFonts w:hint="eastAsia"/>
                      <w:szCs w:val="21"/>
                    </w:rPr>
                    <w:t>东辉小学</w:t>
                  </w:r>
                </w:p>
              </w:tc>
              <w:tc>
                <w:tcPr>
                  <w:tcW w:w="1050" w:type="dxa"/>
                  <w:vAlign w:val="center"/>
                </w:tcPr>
                <w:p>
                  <w:pPr>
                    <w:jc w:val="center"/>
                    <w:rPr>
                      <w:szCs w:val="21"/>
                    </w:rPr>
                  </w:pPr>
                  <w:r>
                    <w:rPr>
                      <w:rFonts w:hint="eastAsia"/>
                      <w:szCs w:val="21"/>
                    </w:rPr>
                    <w:t>266</w:t>
                  </w:r>
                  <w:r>
                    <w:rPr>
                      <w:szCs w:val="21"/>
                    </w:rPr>
                    <w:t>m</w:t>
                  </w:r>
                </w:p>
              </w:tc>
              <w:tc>
                <w:tcPr>
                  <w:tcW w:w="1290" w:type="dxa"/>
                  <w:vAlign w:val="center"/>
                </w:tcPr>
                <w:p>
                  <w:pPr>
                    <w:jc w:val="center"/>
                    <w:rPr>
                      <w:szCs w:val="21"/>
                    </w:rPr>
                  </w:pPr>
                  <w:r>
                    <w:rPr>
                      <w:rFonts w:hint="eastAsia"/>
                      <w:szCs w:val="21"/>
                    </w:rPr>
                    <w:t>东</w:t>
                  </w:r>
                </w:p>
              </w:tc>
              <w:tc>
                <w:tcPr>
                  <w:tcW w:w="2937" w:type="dxa"/>
                  <w:vMerge w:val="continue"/>
                  <w:vAlign w:val="center"/>
                </w:tcPr>
                <w:p>
                  <w:pPr>
                    <w:jc w:val="center"/>
                    <w:rPr>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7" w:hRule="atLeast"/>
                <w:jc w:val="center"/>
              </w:trPr>
              <w:tc>
                <w:tcPr>
                  <w:tcW w:w="1084" w:type="dxa"/>
                  <w:vMerge w:val="continue"/>
                  <w:vAlign w:val="center"/>
                </w:tcPr>
                <w:p>
                  <w:pPr>
                    <w:jc w:val="center"/>
                    <w:rPr>
                      <w:szCs w:val="21"/>
                    </w:rPr>
                  </w:pPr>
                </w:p>
              </w:tc>
              <w:tc>
                <w:tcPr>
                  <w:tcW w:w="1935" w:type="dxa"/>
                  <w:vAlign w:val="center"/>
                </w:tcPr>
                <w:p>
                  <w:pPr>
                    <w:jc w:val="center"/>
                    <w:rPr>
                      <w:szCs w:val="21"/>
                    </w:rPr>
                  </w:pPr>
                  <w:r>
                    <w:rPr>
                      <w:rFonts w:hint="eastAsia"/>
                      <w:caps/>
                      <w:szCs w:val="21"/>
                      <w:lang w:val="zh-CN"/>
                    </w:rPr>
                    <w:t>蚌湖中心幼儿园</w:t>
                  </w:r>
                </w:p>
              </w:tc>
              <w:tc>
                <w:tcPr>
                  <w:tcW w:w="1050" w:type="dxa"/>
                  <w:vAlign w:val="center"/>
                </w:tcPr>
                <w:p>
                  <w:pPr>
                    <w:jc w:val="center"/>
                    <w:rPr>
                      <w:szCs w:val="21"/>
                    </w:rPr>
                  </w:pPr>
                  <w:r>
                    <w:rPr>
                      <w:rFonts w:hint="eastAsia"/>
                      <w:szCs w:val="21"/>
                    </w:rPr>
                    <w:t>315m</w:t>
                  </w:r>
                </w:p>
              </w:tc>
              <w:tc>
                <w:tcPr>
                  <w:tcW w:w="1290" w:type="dxa"/>
                  <w:vAlign w:val="center"/>
                </w:tcPr>
                <w:p>
                  <w:pPr>
                    <w:jc w:val="center"/>
                    <w:rPr>
                      <w:szCs w:val="21"/>
                    </w:rPr>
                  </w:pPr>
                  <w:r>
                    <w:rPr>
                      <w:rFonts w:hint="eastAsia"/>
                      <w:szCs w:val="21"/>
                    </w:rPr>
                    <w:t>东</w:t>
                  </w:r>
                </w:p>
              </w:tc>
              <w:tc>
                <w:tcPr>
                  <w:tcW w:w="2937" w:type="dxa"/>
                  <w:vMerge w:val="continue"/>
                  <w:vAlign w:val="center"/>
                </w:tcPr>
                <w:p>
                  <w:pPr>
                    <w:jc w:val="center"/>
                    <w:rPr>
                      <w:szCs w:val="21"/>
                    </w:rPr>
                  </w:pPr>
                </w:p>
              </w:tc>
            </w:tr>
          </w:tbl>
          <w:p>
            <w:pPr>
              <w:pStyle w:val="20"/>
              <w:spacing w:line="360" w:lineRule="auto"/>
              <w:ind w:firstLine="482" w:firstLineChars="200"/>
              <w:jc w:val="both"/>
              <w:rPr>
                <w:rFonts w:ascii="Times New Roman"/>
                <w:b/>
                <w:bCs/>
              </w:rPr>
            </w:pPr>
            <w:r>
              <w:rPr>
                <w:rFonts w:hint="eastAsia" w:ascii="Times New Roman"/>
                <w:b/>
                <w:bCs/>
              </w:rPr>
              <w:t>（</w:t>
            </w:r>
            <w:r>
              <w:rPr>
                <w:rFonts w:ascii="Times New Roman"/>
                <w:b/>
                <w:bCs/>
              </w:rPr>
              <w:t>3</w:t>
            </w:r>
            <w:r>
              <w:rPr>
                <w:rFonts w:hint="eastAsia" w:ascii="Times New Roman"/>
                <w:b/>
                <w:bCs/>
              </w:rPr>
              <w:t>）</w:t>
            </w:r>
            <w:r>
              <w:rPr>
                <w:rFonts w:ascii="Times New Roman"/>
                <w:b/>
                <w:bCs/>
              </w:rPr>
              <w:t>环境风险识别</w:t>
            </w:r>
          </w:p>
          <w:p>
            <w:pPr>
              <w:pStyle w:val="30"/>
              <w:spacing w:before="0" w:after="0" w:line="360" w:lineRule="auto"/>
              <w:ind w:firstLine="480"/>
              <w:rPr>
                <w:sz w:val="24"/>
                <w:szCs w:val="24"/>
              </w:rPr>
            </w:pPr>
            <w:r>
              <w:rPr>
                <w:rStyle w:val="33"/>
                <w:rFonts w:hint="default" w:ascii="Times New Roman" w:hAnsi="Times New Roman"/>
                <w:color w:val="auto"/>
              </w:rPr>
              <w:t>本项目存在的环境风险因素主要有以下几点：</w:t>
            </w:r>
          </w:p>
          <w:p>
            <w:pPr>
              <w:pStyle w:val="30"/>
              <w:spacing w:before="0" w:after="0" w:line="360" w:lineRule="auto"/>
              <w:ind w:firstLine="480"/>
              <w:rPr>
                <w:kern w:val="2"/>
                <w:sz w:val="24"/>
                <w:szCs w:val="24"/>
              </w:rPr>
            </w:pPr>
            <w:r>
              <w:rPr>
                <w:kern w:val="2"/>
                <w:sz w:val="24"/>
                <w:szCs w:val="24"/>
              </w:rPr>
              <w:t>1）废气治理设施运行故障</w:t>
            </w:r>
          </w:p>
          <w:p>
            <w:pPr>
              <w:pStyle w:val="30"/>
              <w:spacing w:before="0" w:after="0" w:line="360" w:lineRule="auto"/>
              <w:ind w:firstLine="480"/>
              <w:rPr>
                <w:kern w:val="2"/>
                <w:sz w:val="24"/>
                <w:szCs w:val="24"/>
              </w:rPr>
            </w:pPr>
            <w:r>
              <w:rPr>
                <w:kern w:val="2"/>
                <w:sz w:val="24"/>
                <w:szCs w:val="24"/>
              </w:rPr>
              <w:t>项目废气处理设施正常运行时，可以保证废气达标排放。当废气处理设施发生故障时，会造成大量未达标处理的废气直接排入空气中，对环境空气造成较大的影响。导致废气治理设施运行故障的原因主要有：设备故障、电力系统故障、人员操作失误等。</w:t>
            </w:r>
          </w:p>
          <w:p>
            <w:pPr>
              <w:pStyle w:val="30"/>
              <w:spacing w:before="0" w:after="0" w:line="360" w:lineRule="auto"/>
              <w:ind w:firstLine="480"/>
              <w:rPr>
                <w:sz w:val="24"/>
                <w:szCs w:val="24"/>
              </w:rPr>
            </w:pPr>
            <w:r>
              <w:rPr>
                <w:sz w:val="24"/>
                <w:szCs w:val="24"/>
              </w:rPr>
              <w:t>2）</w:t>
            </w:r>
            <w:r>
              <w:rPr>
                <w:color w:val="000000"/>
                <w:sz w:val="24"/>
                <w:szCs w:val="24"/>
              </w:rPr>
              <w:t>生产设施</w:t>
            </w:r>
            <w:r>
              <w:rPr>
                <w:sz w:val="24"/>
                <w:szCs w:val="24"/>
              </w:rPr>
              <w:t>风险识别</w:t>
            </w:r>
          </w:p>
          <w:p>
            <w:pPr>
              <w:pStyle w:val="30"/>
              <w:spacing w:before="0" w:after="0" w:line="360" w:lineRule="auto"/>
              <w:ind w:firstLine="480"/>
              <w:rPr>
                <w:sz w:val="24"/>
                <w:szCs w:val="24"/>
              </w:rPr>
            </w:pPr>
            <w:r>
              <w:rPr>
                <w:color w:val="000000"/>
                <w:sz w:val="24"/>
                <w:szCs w:val="24"/>
              </w:rPr>
              <w:t>生产设施风险识别范围包括对生产装置、贮运系统、公用工程系统、工程环保设施及辅助生产设施的风险识别。其中，生产厂房、仓库发生泄漏、火灾的环境风险较大，废气处理设施发生故障也具有一定的环境风险。</w:t>
            </w:r>
          </w:p>
          <w:p>
            <w:pPr>
              <w:pStyle w:val="30"/>
              <w:spacing w:before="0" w:after="0" w:line="360" w:lineRule="auto"/>
              <w:ind w:firstLine="482"/>
              <w:rPr>
                <w:b/>
                <w:bCs/>
                <w:sz w:val="24"/>
                <w:szCs w:val="24"/>
              </w:rPr>
            </w:pPr>
            <w:r>
              <w:rPr>
                <w:rFonts w:hint="eastAsia"/>
                <w:b/>
                <w:bCs/>
                <w:sz w:val="24"/>
                <w:szCs w:val="24"/>
              </w:rPr>
              <w:t>（</w:t>
            </w:r>
            <w:r>
              <w:rPr>
                <w:b/>
                <w:bCs/>
                <w:sz w:val="24"/>
                <w:szCs w:val="24"/>
              </w:rPr>
              <w:t>4</w:t>
            </w:r>
            <w:r>
              <w:rPr>
                <w:rFonts w:hint="eastAsia"/>
                <w:b/>
                <w:bCs/>
                <w:sz w:val="24"/>
                <w:szCs w:val="24"/>
              </w:rPr>
              <w:t>）</w:t>
            </w:r>
            <w:r>
              <w:rPr>
                <w:b/>
                <w:bCs/>
                <w:sz w:val="24"/>
                <w:szCs w:val="24"/>
              </w:rPr>
              <w:t>环境风险分析</w:t>
            </w:r>
          </w:p>
          <w:p>
            <w:pPr>
              <w:spacing w:line="360" w:lineRule="auto"/>
              <w:ind w:firstLine="480" w:firstLineChars="200"/>
              <w:rPr>
                <w:color w:val="000000"/>
                <w:sz w:val="24"/>
              </w:rPr>
            </w:pPr>
            <w:r>
              <w:rPr>
                <w:color w:val="000000"/>
                <w:sz w:val="24"/>
              </w:rPr>
              <w:t>1）火灾爆炸事故引起的环境风险影响分析</w:t>
            </w:r>
          </w:p>
          <w:p>
            <w:pPr>
              <w:spacing w:line="360" w:lineRule="auto"/>
              <w:ind w:firstLine="480" w:firstLineChars="200"/>
              <w:rPr>
                <w:color w:val="000000"/>
                <w:sz w:val="24"/>
              </w:rPr>
            </w:pPr>
            <w:r>
              <w:rPr>
                <w:color w:val="000000"/>
                <w:sz w:val="24"/>
              </w:rPr>
              <w:t>火灾或爆炸事故危害除热辐射、冲击波和抛射物等直接危害外，未完全燃烧的危险物质在高温下迅速挥发释放至大气，燃烧物质燃烧过程中则同时产生伴生和次生物质，加上燃烧后形成的浓烟。浓烟是由燃烧物质释放出的高温蒸汽和毒气、被分解和凝聚的未燃烧物质、被火焰加热而带入上升气流中的大量空气等多种物质组成。它不但含有大量的热量，而且含有毒气体和弥散的固体微粒。因此浓烟对火场周围人员的生命安全危害程度远超过火灾本身，并对周围的大气环境质量造成很大的污染和破坏。另外，燃烧时的强烈热辐射还可能造成新的火灾和爆炸事故，会对周围的大气环境造成一定的影响，因此，建设单位应做好消防设施配置，有效控制火势。</w:t>
            </w:r>
          </w:p>
          <w:p>
            <w:pPr>
              <w:pStyle w:val="30"/>
              <w:spacing w:before="0" w:after="0" w:line="360" w:lineRule="auto"/>
              <w:ind w:firstLine="480"/>
              <w:rPr>
                <w:sz w:val="24"/>
                <w:szCs w:val="24"/>
              </w:rPr>
            </w:pPr>
            <w:r>
              <w:rPr>
                <w:sz w:val="24"/>
                <w:szCs w:val="24"/>
              </w:rPr>
              <w:t>2）</w:t>
            </w:r>
            <w:r>
              <w:rPr>
                <w:color w:val="000000"/>
                <w:sz w:val="24"/>
                <w:szCs w:val="24"/>
              </w:rPr>
              <w:t>废气处理设施发生故障引起的环境风险影响分析</w:t>
            </w:r>
          </w:p>
          <w:p>
            <w:pPr>
              <w:spacing w:line="360" w:lineRule="auto"/>
              <w:ind w:firstLine="480" w:firstLineChars="200"/>
              <w:rPr>
                <w:color w:val="000000"/>
                <w:sz w:val="24"/>
              </w:rPr>
            </w:pPr>
            <w:r>
              <w:rPr>
                <w:color w:val="000000"/>
                <w:sz w:val="24"/>
              </w:rPr>
              <w:t>废气处理设施发生故障（如活性炭更换或失效时）直接排放时，废气中污染物由于浓度骤然变大，对周围大气环境将有一定的不利影响，并影响到周围人群的身体健康。因此，工厂应严格履行自身的环保责任，确保废气处理设施正常稳定运行，废气能稳定达标排放。</w:t>
            </w:r>
          </w:p>
          <w:p>
            <w:pPr>
              <w:pStyle w:val="30"/>
              <w:spacing w:before="0" w:after="0" w:line="360" w:lineRule="auto"/>
              <w:ind w:firstLine="482"/>
              <w:rPr>
                <w:b/>
                <w:bCs/>
                <w:sz w:val="24"/>
                <w:szCs w:val="24"/>
              </w:rPr>
            </w:pPr>
            <w:r>
              <w:rPr>
                <w:rFonts w:hint="eastAsia"/>
                <w:b/>
                <w:sz w:val="24"/>
                <w:szCs w:val="24"/>
              </w:rPr>
              <w:t>（</w:t>
            </w:r>
            <w:r>
              <w:rPr>
                <w:b/>
                <w:sz w:val="24"/>
                <w:szCs w:val="24"/>
              </w:rPr>
              <w:t>5</w:t>
            </w:r>
            <w:r>
              <w:rPr>
                <w:rFonts w:hint="eastAsia"/>
                <w:b/>
                <w:sz w:val="24"/>
                <w:szCs w:val="24"/>
              </w:rPr>
              <w:t>）</w:t>
            </w:r>
            <w:r>
              <w:rPr>
                <w:b/>
                <w:sz w:val="24"/>
                <w:szCs w:val="24"/>
              </w:rPr>
              <w:t>环境风险防范措施及应急要</w:t>
            </w:r>
            <w:r>
              <w:rPr>
                <w:b/>
                <w:bCs/>
                <w:sz w:val="24"/>
                <w:szCs w:val="24"/>
              </w:rPr>
              <w:t>求</w:t>
            </w:r>
          </w:p>
          <w:p>
            <w:pPr>
              <w:pStyle w:val="30"/>
              <w:spacing w:before="0" w:after="0" w:line="360" w:lineRule="auto"/>
              <w:ind w:firstLine="480"/>
              <w:rPr>
                <w:sz w:val="24"/>
                <w:szCs w:val="24"/>
              </w:rPr>
            </w:pPr>
            <w:r>
              <w:rPr>
                <w:sz w:val="24"/>
                <w:szCs w:val="24"/>
              </w:rPr>
              <w:t>对本项目可能带来的风险，提出以下防范措施和事故应急措施：</w:t>
            </w:r>
          </w:p>
          <w:p>
            <w:pPr>
              <w:pStyle w:val="30"/>
              <w:spacing w:before="0" w:after="0" w:line="360" w:lineRule="auto"/>
              <w:ind w:firstLine="480"/>
              <w:rPr>
                <w:sz w:val="24"/>
                <w:szCs w:val="24"/>
              </w:rPr>
            </w:pPr>
            <w:r>
              <w:rPr>
                <w:sz w:val="24"/>
                <w:szCs w:val="24"/>
              </w:rPr>
              <w:t>1）风险防范措施</w:t>
            </w:r>
          </w:p>
          <w:p>
            <w:pPr>
              <w:pStyle w:val="30"/>
              <w:spacing w:before="0" w:after="0" w:line="360" w:lineRule="auto"/>
              <w:ind w:firstLine="480"/>
              <w:rPr>
                <w:sz w:val="24"/>
                <w:szCs w:val="24"/>
              </w:rPr>
            </w:pPr>
            <w:r>
              <w:rPr>
                <w:color w:val="000000"/>
                <w:sz w:val="24"/>
                <w:szCs w:val="24"/>
              </w:rPr>
              <w:t>①</w:t>
            </w:r>
            <w:r>
              <w:rPr>
                <w:sz w:val="24"/>
                <w:szCs w:val="24"/>
              </w:rPr>
              <w:t>设备的安全管理，定期对设备进行安全检测，检测内容、时间、人员应有记录保存。安全检测应根据设备的安全性、危险性设定检测频次。</w:t>
            </w:r>
          </w:p>
          <w:p>
            <w:pPr>
              <w:pStyle w:val="30"/>
              <w:spacing w:before="0" w:after="0" w:line="360" w:lineRule="auto"/>
              <w:ind w:firstLine="480"/>
              <w:rPr>
                <w:sz w:val="24"/>
                <w:szCs w:val="24"/>
              </w:rPr>
            </w:pPr>
            <w:r>
              <w:rPr>
                <w:color w:val="000000"/>
                <w:sz w:val="24"/>
                <w:szCs w:val="24"/>
              </w:rPr>
              <w:t>②</w:t>
            </w:r>
            <w:r>
              <w:rPr>
                <w:sz w:val="24"/>
                <w:szCs w:val="24"/>
              </w:rPr>
              <w:t>要有防雷击装置，特别防止侧雷击。</w:t>
            </w:r>
          </w:p>
          <w:p>
            <w:pPr>
              <w:pStyle w:val="30"/>
              <w:spacing w:before="0" w:after="0" w:line="360" w:lineRule="auto"/>
              <w:ind w:firstLine="480"/>
              <w:rPr>
                <w:sz w:val="24"/>
                <w:szCs w:val="24"/>
              </w:rPr>
            </w:pPr>
            <w:r>
              <w:rPr>
                <w:color w:val="000000"/>
                <w:sz w:val="24"/>
                <w:szCs w:val="24"/>
              </w:rPr>
              <w:t>③</w:t>
            </w:r>
            <w:r>
              <w:rPr>
                <w:sz w:val="24"/>
                <w:szCs w:val="24"/>
              </w:rPr>
              <w:t>火源的管理：明火控制，其发生源为火柴、打火机等，维修用火控制，对设备维修检查，需进行维修焊接，应经安全部门确认、准许，并有记录在案。汽车、拖拉机等机动车在厂内行驶，须安装阻火器，必要设备安装防火、防爆装置。</w:t>
            </w:r>
          </w:p>
          <w:p>
            <w:pPr>
              <w:pStyle w:val="30"/>
              <w:spacing w:before="0" w:after="0" w:line="360" w:lineRule="auto"/>
              <w:ind w:firstLine="480"/>
              <w:rPr>
                <w:sz w:val="24"/>
                <w:szCs w:val="24"/>
              </w:rPr>
            </w:pPr>
            <w:r>
              <w:rPr>
                <w:sz w:val="24"/>
                <w:szCs w:val="24"/>
              </w:rPr>
              <w:fldChar w:fldCharType="begin"/>
            </w:r>
            <w:r>
              <w:rPr>
                <w:sz w:val="24"/>
                <w:szCs w:val="24"/>
              </w:rPr>
              <w:instrText xml:space="preserve"> = 4 \* GB3 \* MERGEFORMAT </w:instrText>
            </w:r>
            <w:r>
              <w:rPr>
                <w:sz w:val="24"/>
                <w:szCs w:val="24"/>
              </w:rPr>
              <w:fldChar w:fldCharType="separate"/>
            </w:r>
            <w:r>
              <w:rPr>
                <w:sz w:val="24"/>
                <w:szCs w:val="24"/>
              </w:rPr>
              <w:t>④</w:t>
            </w:r>
            <w:r>
              <w:rPr>
                <w:sz w:val="24"/>
                <w:szCs w:val="24"/>
              </w:rPr>
              <w:fldChar w:fldCharType="end"/>
            </w:r>
            <w:r>
              <w:rPr>
                <w:sz w:val="24"/>
                <w:szCs w:val="24"/>
              </w:rPr>
              <w:t>在厂房及项目进入口的明显位置张贴禁用明火的告示，车间内合理配置移动式式泡沫灭火器。</w:t>
            </w:r>
          </w:p>
          <w:p>
            <w:pPr>
              <w:pStyle w:val="30"/>
              <w:spacing w:before="0" w:after="0" w:line="360" w:lineRule="auto"/>
              <w:ind w:firstLine="480"/>
              <w:rPr>
                <w:sz w:val="24"/>
                <w:szCs w:val="24"/>
              </w:rPr>
            </w:pPr>
            <w:r>
              <w:rPr>
                <w:sz w:val="24"/>
                <w:szCs w:val="24"/>
              </w:rPr>
              <w:fldChar w:fldCharType="begin"/>
            </w:r>
            <w:r>
              <w:rPr>
                <w:sz w:val="24"/>
                <w:szCs w:val="24"/>
              </w:rPr>
              <w:instrText xml:space="preserve"> = 5 \* GB3 \* MERGEFORMAT </w:instrText>
            </w:r>
            <w:r>
              <w:rPr>
                <w:sz w:val="24"/>
                <w:szCs w:val="24"/>
              </w:rPr>
              <w:fldChar w:fldCharType="separate"/>
            </w:r>
            <w:r>
              <w:rPr>
                <w:sz w:val="24"/>
                <w:szCs w:val="24"/>
              </w:rPr>
              <w:t>⑤</w:t>
            </w:r>
            <w:r>
              <w:rPr>
                <w:sz w:val="24"/>
                <w:szCs w:val="24"/>
              </w:rPr>
              <w:fldChar w:fldCharType="end"/>
            </w:r>
            <w:r>
              <w:rPr>
                <w:sz w:val="24"/>
                <w:szCs w:val="24"/>
              </w:rPr>
              <w:t>厂房内应配备泡沫灭火器、消防砂箱和防毒面具等消防应急设备，并定期检查设备有效性。</w:t>
            </w:r>
          </w:p>
          <w:p>
            <w:pPr>
              <w:pStyle w:val="30"/>
              <w:spacing w:before="0" w:after="0" w:line="360" w:lineRule="auto"/>
              <w:ind w:firstLine="480"/>
              <w:rPr>
                <w:sz w:val="24"/>
                <w:szCs w:val="24"/>
              </w:rPr>
            </w:pPr>
            <w:r>
              <w:rPr>
                <w:sz w:val="24"/>
                <w:szCs w:val="24"/>
              </w:rPr>
              <w:fldChar w:fldCharType="begin"/>
            </w:r>
            <w:r>
              <w:rPr>
                <w:sz w:val="24"/>
                <w:szCs w:val="24"/>
              </w:rPr>
              <w:instrText xml:space="preserve"> = 6 \* GB3 \* MERGEFORMAT </w:instrText>
            </w:r>
            <w:r>
              <w:rPr>
                <w:sz w:val="24"/>
                <w:szCs w:val="24"/>
              </w:rPr>
              <w:fldChar w:fldCharType="separate"/>
            </w:r>
            <w:r>
              <w:t>⑥</w:t>
            </w:r>
            <w:r>
              <w:rPr>
                <w:sz w:val="24"/>
                <w:szCs w:val="24"/>
              </w:rPr>
              <w:fldChar w:fldCharType="end"/>
            </w:r>
            <w:r>
              <w:rPr>
                <w:color w:val="000000"/>
                <w:sz w:val="24"/>
                <w:szCs w:val="24"/>
              </w:rPr>
              <w:t>生产废气事故排放风险防范措施项目环保部门负责对工艺废气处理装置定期巡查，编制《废气处理设施运行巡查制度》；当设备出现异常时，应立即停止相关车间的生产，并通知设备部对废气处理装置进行检修，正常后方可开启工作。</w:t>
            </w:r>
          </w:p>
          <w:p>
            <w:pPr>
              <w:pStyle w:val="30"/>
              <w:numPr>
                <w:ilvl w:val="0"/>
                <w:numId w:val="10"/>
              </w:numPr>
              <w:spacing w:line="360" w:lineRule="auto"/>
              <w:ind w:firstLine="48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事故应急措施</w:t>
            </w:r>
          </w:p>
          <w:p>
            <w:pPr>
              <w:pStyle w:val="30"/>
              <w:spacing w:before="0" w:after="0" w:line="360" w:lineRule="auto"/>
              <w:ind w:firstLine="480"/>
              <w:rPr>
                <w:sz w:val="24"/>
                <w:szCs w:val="24"/>
              </w:rPr>
            </w:pPr>
            <w:r>
              <w:rPr>
                <w:rFonts w:hint="eastAsia"/>
                <w:sz w:val="24"/>
                <w:szCs w:val="24"/>
              </w:rPr>
              <w:t>建立事故应急预案，成立事故应急处理小组，由车间安全负责人担任事故应急小组组长，一旦发生火灾等</w:t>
            </w:r>
            <w:r>
              <w:rPr>
                <w:sz w:val="24"/>
                <w:szCs w:val="24"/>
              </w:rPr>
              <w:t>事故，应立即</w:t>
            </w:r>
            <w:r>
              <w:rPr>
                <w:rFonts w:hint="eastAsia"/>
                <w:sz w:val="24"/>
                <w:szCs w:val="24"/>
              </w:rPr>
              <w:t>启动事故应急预案，并</w:t>
            </w:r>
            <w:r>
              <w:rPr>
                <w:sz w:val="24"/>
                <w:szCs w:val="24"/>
              </w:rPr>
              <w:t>向</w:t>
            </w:r>
            <w:r>
              <w:rPr>
                <w:rFonts w:hint="eastAsia"/>
                <w:sz w:val="24"/>
                <w:szCs w:val="24"/>
              </w:rPr>
              <w:t>有关</w:t>
            </w:r>
            <w:r>
              <w:rPr>
                <w:sz w:val="24"/>
                <w:szCs w:val="24"/>
              </w:rPr>
              <w:t>环境管理部门汇报情况，</w:t>
            </w:r>
            <w:r>
              <w:rPr>
                <w:rFonts w:hint="eastAsia"/>
                <w:sz w:val="24"/>
                <w:szCs w:val="24"/>
              </w:rPr>
              <w:t>协助</w:t>
            </w:r>
            <w:r>
              <w:rPr>
                <w:sz w:val="24"/>
                <w:szCs w:val="24"/>
              </w:rPr>
              <w:t>环境管理部门</w:t>
            </w:r>
            <w:r>
              <w:rPr>
                <w:rFonts w:hint="eastAsia"/>
                <w:sz w:val="24"/>
                <w:szCs w:val="24"/>
              </w:rPr>
              <w:t>进行</w:t>
            </w:r>
            <w:r>
              <w:rPr>
                <w:sz w:val="24"/>
                <w:szCs w:val="24"/>
              </w:rPr>
              <w:t>应急监测</w:t>
            </w:r>
            <w:r>
              <w:rPr>
                <w:rFonts w:hint="eastAsia"/>
                <w:sz w:val="24"/>
                <w:szCs w:val="24"/>
              </w:rPr>
              <w:t>等工作。</w:t>
            </w:r>
          </w:p>
          <w:p>
            <w:pPr>
              <w:pStyle w:val="30"/>
              <w:spacing w:before="0" w:after="0" w:line="360" w:lineRule="auto"/>
              <w:ind w:firstLine="482"/>
              <w:rPr>
                <w:b/>
                <w:bCs/>
                <w:sz w:val="24"/>
                <w:szCs w:val="24"/>
              </w:rPr>
            </w:pPr>
            <w:r>
              <w:rPr>
                <w:b/>
                <w:bCs/>
                <w:sz w:val="24"/>
                <w:szCs w:val="24"/>
              </w:rPr>
              <w:t>（</w:t>
            </w:r>
            <w:r>
              <w:rPr>
                <w:rFonts w:hint="eastAsia"/>
                <w:b/>
                <w:bCs/>
                <w:sz w:val="24"/>
                <w:szCs w:val="24"/>
              </w:rPr>
              <w:t>6</w:t>
            </w:r>
            <w:r>
              <w:rPr>
                <w:b/>
                <w:bCs/>
                <w:sz w:val="24"/>
                <w:szCs w:val="24"/>
              </w:rPr>
              <w:t>）小结</w:t>
            </w:r>
          </w:p>
          <w:p>
            <w:pPr>
              <w:pStyle w:val="30"/>
              <w:spacing w:before="0" w:after="0" w:line="360" w:lineRule="auto"/>
              <w:ind w:firstLine="480"/>
              <w:rPr>
                <w:b/>
                <w:sz w:val="24"/>
                <w:szCs w:val="24"/>
              </w:rPr>
            </w:pPr>
            <w:r>
              <w:rPr>
                <w:sz w:val="24"/>
                <w:szCs w:val="24"/>
              </w:rPr>
              <w:t>本项目环境风险潜势为Ⅰ，通过采取相应的风险防范措施，项目的环境风险可控。一旦发生事故，建设单位应立即执行事故应急预案，采取合理的事故应急处理措施，将事故影响降到最低限度。</w:t>
            </w:r>
          </w:p>
          <w:p>
            <w:pPr>
              <w:tabs>
                <w:tab w:val="left" w:pos="3060"/>
              </w:tabs>
              <w:adjustRightInd w:val="0"/>
              <w:snapToGrid w:val="0"/>
              <w:jc w:val="center"/>
              <w:rPr>
                <w:szCs w:val="21"/>
              </w:rPr>
            </w:pPr>
            <w:r>
              <w:rPr>
                <w:b/>
                <w:szCs w:val="21"/>
              </w:rPr>
              <w:t>表7-</w:t>
            </w:r>
            <w:r>
              <w:rPr>
                <w:rFonts w:hint="eastAsia"/>
                <w:b/>
                <w:szCs w:val="21"/>
                <w:lang w:val="en-US" w:eastAsia="zh-CN"/>
              </w:rPr>
              <w:t xml:space="preserve">22  </w:t>
            </w:r>
            <w:r>
              <w:rPr>
                <w:b/>
                <w:szCs w:val="21"/>
              </w:rPr>
              <w:t>建设项目环境风险简单分析内容表</w:t>
            </w:r>
          </w:p>
          <w:tbl>
            <w:tblPr>
              <w:tblStyle w:val="15"/>
              <w:tblW w:w="828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213"/>
              <w:gridCol w:w="1214"/>
              <w:gridCol w:w="1215"/>
              <w:gridCol w:w="1213"/>
              <w:gridCol w:w="1215"/>
              <w:gridCol w:w="121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PrEx>
              <w:trPr>
                <w:trHeight w:val="397" w:hRule="atLeast"/>
                <w:jc w:val="center"/>
              </w:trPr>
              <w:tc>
                <w:tcPr>
                  <w:tcW w:w="2213" w:type="dxa"/>
                  <w:vAlign w:val="center"/>
                </w:tcPr>
                <w:p>
                  <w:pPr>
                    <w:pStyle w:val="34"/>
                    <w:jc w:val="center"/>
                    <w:rPr>
                      <w:rFonts w:ascii="Times New Roman" w:hAnsi="Times New Roman" w:eastAsia="宋体"/>
                      <w:sz w:val="21"/>
                      <w:szCs w:val="21"/>
                      <w:lang w:eastAsia="zh-CN"/>
                    </w:rPr>
                  </w:pPr>
                  <w:r>
                    <w:rPr>
                      <w:rFonts w:ascii="Times New Roman" w:hAnsi="Times New Roman" w:eastAsia="宋体"/>
                      <w:sz w:val="21"/>
                      <w:szCs w:val="21"/>
                      <w:lang w:eastAsia="zh-CN"/>
                    </w:rPr>
                    <w:t>建设项目名称</w:t>
                  </w:r>
                </w:p>
              </w:tc>
              <w:tc>
                <w:tcPr>
                  <w:tcW w:w="6073" w:type="dxa"/>
                  <w:gridSpan w:val="5"/>
                  <w:vAlign w:val="center"/>
                </w:tcPr>
                <w:p>
                  <w:pPr>
                    <w:pStyle w:val="34"/>
                    <w:jc w:val="center"/>
                    <w:rPr>
                      <w:rFonts w:ascii="Times New Roman" w:hAnsi="Times New Roman" w:eastAsia="宋体"/>
                      <w:sz w:val="21"/>
                      <w:szCs w:val="21"/>
                      <w:lang w:eastAsia="zh-CN"/>
                    </w:rPr>
                  </w:pPr>
                  <w:r>
                    <w:rPr>
                      <w:rFonts w:hint="eastAsia" w:ascii="Times New Roman" w:hAnsi="Times New Roman" w:eastAsia="宋体"/>
                      <w:sz w:val="21"/>
                      <w:szCs w:val="21"/>
                      <w:lang w:eastAsia="zh-CN"/>
                    </w:rPr>
                    <w:t>广州昇宏五金制品有限公司建设项目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97" w:hRule="atLeast"/>
                <w:jc w:val="center"/>
              </w:trPr>
              <w:tc>
                <w:tcPr>
                  <w:tcW w:w="2213"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建设地点</w:t>
                  </w:r>
                </w:p>
              </w:tc>
              <w:tc>
                <w:tcPr>
                  <w:tcW w:w="1214"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（广东）省</w:t>
                  </w:r>
                </w:p>
              </w:tc>
              <w:tc>
                <w:tcPr>
                  <w:tcW w:w="1215"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w:t>
                  </w:r>
                  <w:r>
                    <w:rPr>
                      <w:rFonts w:ascii="Times New Roman" w:hAnsi="Times New Roman" w:eastAsia="宋体"/>
                      <w:sz w:val="21"/>
                      <w:szCs w:val="21"/>
                      <w:lang w:eastAsia="zh-CN"/>
                    </w:rPr>
                    <w:t>广州</w:t>
                  </w:r>
                  <w:r>
                    <w:rPr>
                      <w:rFonts w:ascii="Times New Roman" w:hAnsi="Times New Roman" w:eastAsia="宋体"/>
                      <w:sz w:val="21"/>
                      <w:szCs w:val="21"/>
                    </w:rPr>
                    <w:t>）市</w:t>
                  </w:r>
                </w:p>
              </w:tc>
              <w:tc>
                <w:tcPr>
                  <w:tcW w:w="1213"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w:t>
                  </w:r>
                  <w:r>
                    <w:rPr>
                      <w:rFonts w:hint="eastAsia" w:ascii="Times New Roman" w:hAnsi="Times New Roman" w:eastAsia="宋体"/>
                      <w:sz w:val="21"/>
                      <w:szCs w:val="21"/>
                      <w:lang w:eastAsia="zh-CN"/>
                    </w:rPr>
                    <w:t>白云</w:t>
                  </w:r>
                  <w:r>
                    <w:rPr>
                      <w:rFonts w:ascii="Times New Roman" w:hAnsi="Times New Roman" w:eastAsia="宋体"/>
                      <w:sz w:val="21"/>
                      <w:szCs w:val="21"/>
                    </w:rPr>
                    <w:t>）区</w:t>
                  </w:r>
                </w:p>
              </w:tc>
              <w:tc>
                <w:tcPr>
                  <w:tcW w:w="1215"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 ）县</w:t>
                  </w:r>
                </w:p>
              </w:tc>
              <w:tc>
                <w:tcPr>
                  <w:tcW w:w="1216"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 ）园区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97" w:hRule="atLeast"/>
                <w:jc w:val="center"/>
              </w:trPr>
              <w:tc>
                <w:tcPr>
                  <w:tcW w:w="2213"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地理坐标</w:t>
                  </w:r>
                </w:p>
              </w:tc>
              <w:tc>
                <w:tcPr>
                  <w:tcW w:w="1214"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经度</w:t>
                  </w:r>
                </w:p>
              </w:tc>
              <w:tc>
                <w:tcPr>
                  <w:tcW w:w="1215" w:type="dxa"/>
                  <w:vAlign w:val="center"/>
                </w:tcPr>
                <w:p>
                  <w:pPr>
                    <w:pStyle w:val="34"/>
                    <w:jc w:val="center"/>
                    <w:rPr>
                      <w:rFonts w:ascii="Times New Roman" w:hAnsi="Times New Roman" w:eastAsia="宋体"/>
                      <w:sz w:val="21"/>
                      <w:szCs w:val="21"/>
                    </w:rPr>
                  </w:pPr>
                  <w:r>
                    <w:rPr>
                      <w:rFonts w:ascii="Times New Roman" w:hAnsi="Times New Roman"/>
                      <w:sz w:val="21"/>
                      <w:szCs w:val="21"/>
                      <w:lang w:eastAsia="zh-CN"/>
                    </w:rPr>
                    <w:t>113.251031</w:t>
                  </w:r>
                  <w:r>
                    <w:rPr>
                      <w:rFonts w:ascii="Times New Roman" w:hAnsi="Times New Roman" w:eastAsia="宋体"/>
                      <w:sz w:val="21"/>
                      <w:szCs w:val="21"/>
                      <w:lang w:eastAsia="zh-CN"/>
                    </w:rPr>
                    <w:t>°</w:t>
                  </w:r>
                </w:p>
              </w:tc>
              <w:tc>
                <w:tcPr>
                  <w:tcW w:w="1213"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纬度</w:t>
                  </w:r>
                </w:p>
              </w:tc>
              <w:tc>
                <w:tcPr>
                  <w:tcW w:w="2431" w:type="dxa"/>
                  <w:gridSpan w:val="2"/>
                  <w:vAlign w:val="center"/>
                </w:tcPr>
                <w:p>
                  <w:pPr>
                    <w:pStyle w:val="34"/>
                    <w:jc w:val="center"/>
                    <w:rPr>
                      <w:rFonts w:ascii="Times New Roman" w:hAnsi="Times New Roman" w:eastAsia="宋体"/>
                      <w:sz w:val="21"/>
                      <w:szCs w:val="21"/>
                    </w:rPr>
                  </w:pPr>
                  <w:r>
                    <w:rPr>
                      <w:rFonts w:ascii="Times New Roman" w:hAnsi="Times New Roman"/>
                      <w:sz w:val="21"/>
                      <w:szCs w:val="21"/>
                      <w:lang w:eastAsia="zh-CN"/>
                    </w:rPr>
                    <w:t>23.301622</w:t>
                  </w:r>
                  <w:r>
                    <w:rPr>
                      <w:rFonts w:ascii="Times New Roman" w:hAnsi="Times New Roman" w:eastAsia="宋体"/>
                      <w:sz w:val="21"/>
                      <w:szCs w:val="21"/>
                      <w:lang w:eastAsia="zh-CN"/>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397" w:hRule="atLeast"/>
                <w:jc w:val="center"/>
              </w:trPr>
              <w:tc>
                <w:tcPr>
                  <w:tcW w:w="2213"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主要危险物质及分布</w:t>
                  </w:r>
                </w:p>
              </w:tc>
              <w:tc>
                <w:tcPr>
                  <w:tcW w:w="6073" w:type="dxa"/>
                  <w:gridSpan w:val="5"/>
                  <w:vAlign w:val="center"/>
                </w:tcPr>
                <w:p>
                  <w:pPr>
                    <w:pStyle w:val="34"/>
                    <w:rPr>
                      <w:rFonts w:ascii="Times New Roman" w:hAnsi="Times New Roman" w:eastAsia="宋体"/>
                      <w:sz w:val="21"/>
                      <w:szCs w:val="21"/>
                    </w:rPr>
                  </w:pPr>
                  <w:r>
                    <w:rPr>
                      <w:rFonts w:ascii="Times New Roman" w:hAnsi="Times New Roman" w:eastAsia="宋体"/>
                      <w:sz w:val="21"/>
                      <w:szCs w:val="21"/>
                    </w:rPr>
                    <w:t>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546" w:hRule="atLeast"/>
                <w:jc w:val="center"/>
              </w:trPr>
              <w:tc>
                <w:tcPr>
                  <w:tcW w:w="2213" w:type="dxa"/>
                  <w:vAlign w:val="center"/>
                </w:tcPr>
                <w:p>
                  <w:pPr>
                    <w:pStyle w:val="34"/>
                    <w:jc w:val="center"/>
                    <w:rPr>
                      <w:rFonts w:ascii="Times New Roman" w:hAnsi="Times New Roman" w:eastAsia="宋体"/>
                      <w:sz w:val="21"/>
                      <w:szCs w:val="21"/>
                      <w:lang w:eastAsia="zh-CN"/>
                    </w:rPr>
                  </w:pPr>
                  <w:r>
                    <w:rPr>
                      <w:rFonts w:ascii="Times New Roman" w:hAnsi="Times New Roman" w:eastAsia="宋体"/>
                      <w:sz w:val="21"/>
                      <w:szCs w:val="21"/>
                      <w:lang w:eastAsia="zh-CN"/>
                    </w:rPr>
                    <w:t>环境影响途径及危害后果（大气、地表水、地下水等）</w:t>
                  </w:r>
                </w:p>
              </w:tc>
              <w:tc>
                <w:tcPr>
                  <w:tcW w:w="6073" w:type="dxa"/>
                  <w:gridSpan w:val="5"/>
                  <w:vAlign w:val="center"/>
                </w:tcPr>
                <w:p>
                  <w:pPr>
                    <w:pStyle w:val="34"/>
                    <w:rPr>
                      <w:rFonts w:ascii="Times New Roman" w:hAnsi="Times New Roman" w:eastAsia="宋体"/>
                      <w:sz w:val="21"/>
                      <w:szCs w:val="21"/>
                      <w:lang w:eastAsia="zh-CN"/>
                    </w:rPr>
                  </w:pPr>
                  <w:r>
                    <w:rPr>
                      <w:rFonts w:ascii="Times New Roman" w:hAnsi="Times New Roman" w:eastAsia="宋体"/>
                      <w:sz w:val="21"/>
                      <w:szCs w:val="21"/>
                      <w:lang w:eastAsia="zh-CN"/>
                    </w:rPr>
                    <w:t>废气处理装置发生故障时废气未经处理后直接高浓度排放对周边环境的影响和项目发生火灾时的影响。</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966" w:hRule="atLeast"/>
                <w:jc w:val="center"/>
              </w:trPr>
              <w:tc>
                <w:tcPr>
                  <w:tcW w:w="2213" w:type="dxa"/>
                  <w:vAlign w:val="center"/>
                </w:tcPr>
                <w:p>
                  <w:pPr>
                    <w:pStyle w:val="34"/>
                    <w:jc w:val="center"/>
                    <w:rPr>
                      <w:rFonts w:ascii="Times New Roman" w:hAnsi="Times New Roman" w:eastAsia="宋体"/>
                      <w:sz w:val="21"/>
                      <w:szCs w:val="21"/>
                    </w:rPr>
                  </w:pPr>
                  <w:r>
                    <w:rPr>
                      <w:rFonts w:ascii="Times New Roman" w:hAnsi="Times New Roman" w:eastAsia="宋体"/>
                      <w:sz w:val="21"/>
                      <w:szCs w:val="21"/>
                    </w:rPr>
                    <w:t>风险防范措施要求</w:t>
                  </w:r>
                </w:p>
              </w:tc>
              <w:tc>
                <w:tcPr>
                  <w:tcW w:w="6073" w:type="dxa"/>
                  <w:gridSpan w:val="5"/>
                  <w:vAlign w:val="center"/>
                </w:tcPr>
                <w:p>
                  <w:pPr>
                    <w:pStyle w:val="34"/>
                    <w:rPr>
                      <w:rFonts w:ascii="Times New Roman" w:hAnsi="Times New Roman" w:eastAsia="宋体"/>
                      <w:sz w:val="21"/>
                      <w:szCs w:val="21"/>
                      <w:lang w:eastAsia="zh-CN"/>
                    </w:rPr>
                  </w:pPr>
                  <w:r>
                    <w:rPr>
                      <w:rFonts w:ascii="Times New Roman" w:hAnsi="Times New Roman" w:eastAsia="宋体"/>
                      <w:sz w:val="21"/>
                      <w:szCs w:val="21"/>
                      <w:lang w:eastAsia="zh-CN"/>
                    </w:rPr>
                    <w:t>①制定严格的生产操作规程，加强作业工人的安全教育，杜绝工作失误造成的事故。</w:t>
                  </w:r>
                </w:p>
                <w:p>
                  <w:pPr>
                    <w:pStyle w:val="34"/>
                    <w:rPr>
                      <w:rFonts w:ascii="Times New Roman" w:hAnsi="Times New Roman" w:eastAsia="宋体"/>
                      <w:sz w:val="21"/>
                      <w:szCs w:val="21"/>
                      <w:lang w:eastAsia="zh-CN"/>
                    </w:rPr>
                  </w:pPr>
                  <w:r>
                    <w:rPr>
                      <w:rFonts w:ascii="Times New Roman" w:hAnsi="Times New Roman" w:eastAsia="宋体"/>
                      <w:sz w:val="21"/>
                      <w:szCs w:val="21"/>
                      <w:lang w:eastAsia="zh-CN"/>
                    </w:rPr>
                    <w:t>②在厂房及项目进入口的明显位置张贴禁用明火的告示，车间内合理配置移动式式泡沫灭火器。</w:t>
                  </w:r>
                </w:p>
                <w:p>
                  <w:pPr>
                    <w:pStyle w:val="34"/>
                    <w:rPr>
                      <w:rFonts w:ascii="Times New Roman" w:hAnsi="Times New Roman" w:eastAsia="宋体"/>
                      <w:sz w:val="21"/>
                      <w:szCs w:val="21"/>
                      <w:lang w:eastAsia="zh-CN"/>
                    </w:rPr>
                  </w:pPr>
                  <w:r>
                    <w:rPr>
                      <w:rFonts w:ascii="Times New Roman" w:hAnsi="Times New Roman" w:eastAsia="宋体"/>
                      <w:sz w:val="21"/>
                      <w:szCs w:val="21"/>
                      <w:lang w:eastAsia="zh-CN"/>
                    </w:rPr>
                    <w:t>③加强对废气治理装置的日常运行维护。若废气治理措施因故不能运行，则必须停产。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trHeight w:val="401" w:hRule="atLeast"/>
                <w:jc w:val="center"/>
              </w:trPr>
              <w:tc>
                <w:tcPr>
                  <w:tcW w:w="8286" w:type="dxa"/>
                  <w:gridSpan w:val="6"/>
                </w:tcPr>
                <w:p>
                  <w:pPr>
                    <w:pStyle w:val="34"/>
                    <w:rPr>
                      <w:rFonts w:ascii="Times New Roman" w:hAnsi="Times New Roman" w:eastAsia="宋体"/>
                      <w:sz w:val="21"/>
                      <w:szCs w:val="21"/>
                      <w:lang w:eastAsia="zh-CN"/>
                    </w:rPr>
                  </w:pPr>
                  <w:r>
                    <w:rPr>
                      <w:rFonts w:ascii="Times New Roman" w:hAnsi="Times New Roman" w:eastAsia="宋体"/>
                      <w:sz w:val="21"/>
                      <w:szCs w:val="21"/>
                      <w:lang w:eastAsia="zh-CN"/>
                    </w:rPr>
                    <w:t>填表说明（列出项目相关信息及评价说明）：</w:t>
                  </w:r>
                </w:p>
                <w:p>
                  <w:pPr>
                    <w:pStyle w:val="34"/>
                    <w:rPr>
                      <w:rFonts w:ascii="Times New Roman" w:hAnsi="Times New Roman" w:eastAsia="宋体"/>
                      <w:sz w:val="21"/>
                      <w:szCs w:val="21"/>
                      <w:lang w:eastAsia="zh-CN"/>
                    </w:rPr>
                  </w:pPr>
                  <w:r>
                    <w:rPr>
                      <w:rFonts w:ascii="Times New Roman" w:hAnsi="Times New Roman" w:eastAsia="宋体"/>
                      <w:sz w:val="21"/>
                      <w:szCs w:val="21"/>
                      <w:lang w:eastAsia="zh-CN"/>
                    </w:rPr>
                    <w:t>本项目环境风险潜势为Ⅰ，通过采取相应的风险防范措施，项目的环境风险可控。一旦发生事故，建设单位应立即执行事故应急预案，采取合理的事故应急处理措施，将事故影响降到最低限度。</w:t>
                  </w:r>
                </w:p>
              </w:tc>
            </w:tr>
          </w:tbl>
          <w:p>
            <w:pPr>
              <w:spacing w:line="360" w:lineRule="auto"/>
              <w:ind w:firstLine="482" w:firstLineChars="200"/>
              <w:rPr>
                <w:b/>
                <w:bCs/>
                <w:sz w:val="24"/>
              </w:rPr>
            </w:pPr>
            <w:r>
              <w:rPr>
                <w:rFonts w:hint="eastAsia"/>
                <w:b/>
                <w:sz w:val="24"/>
              </w:rPr>
              <w:t>6、</w:t>
            </w:r>
            <w:r>
              <w:rPr>
                <w:b/>
                <w:sz w:val="24"/>
              </w:rPr>
              <w:t>环境管理与自行监测计划</w:t>
            </w:r>
          </w:p>
          <w:p>
            <w:pPr>
              <w:spacing w:line="360" w:lineRule="auto"/>
              <w:ind w:firstLine="480" w:firstLineChars="200"/>
              <w:rPr>
                <w:sz w:val="24"/>
              </w:rPr>
            </w:pPr>
            <w:r>
              <w:rPr>
                <w:sz w:val="24"/>
              </w:rPr>
              <w:t>（1）环境管理</w:t>
            </w:r>
          </w:p>
          <w:p>
            <w:pPr>
              <w:spacing w:line="360" w:lineRule="auto"/>
              <w:ind w:firstLine="480" w:firstLineChars="200"/>
              <w:rPr>
                <w:sz w:val="24"/>
              </w:rPr>
            </w:pPr>
            <w:r>
              <w:rPr>
                <w:sz w:val="24"/>
              </w:rPr>
              <w:t>1、环境管理机构</w:t>
            </w:r>
          </w:p>
          <w:p>
            <w:pPr>
              <w:spacing w:line="360" w:lineRule="auto"/>
              <w:ind w:firstLine="480" w:firstLineChars="200"/>
              <w:rPr>
                <w:sz w:val="24"/>
              </w:rPr>
            </w:pPr>
            <w:r>
              <w:rPr>
                <w:sz w:val="24"/>
              </w:rPr>
              <w:t>为执行国家、地方有关环保法规，做好工程区域的环境保护工作，建设单位应设置环保管理机构，负责组织、协调和监督本项目的环保工作，以及有关环保的对外协调工作，加强与环保部门的联系。根据项目环境管理的需要。建议设置环保兼职员工 1~2 名。</w:t>
            </w:r>
          </w:p>
          <w:p>
            <w:pPr>
              <w:spacing w:line="360" w:lineRule="auto"/>
              <w:ind w:firstLine="480" w:firstLineChars="200"/>
              <w:rPr>
                <w:sz w:val="24"/>
              </w:rPr>
            </w:pPr>
            <w:r>
              <w:rPr>
                <w:sz w:val="24"/>
              </w:rPr>
              <w:t>2、环境管理计划</w:t>
            </w:r>
          </w:p>
          <w:p>
            <w:pPr>
              <w:spacing w:line="360" w:lineRule="auto"/>
              <w:ind w:firstLine="480" w:firstLineChars="200"/>
              <w:rPr>
                <w:sz w:val="24"/>
              </w:rPr>
            </w:pPr>
            <w:r>
              <w:rPr>
                <w:sz w:val="24"/>
              </w:rPr>
              <w:t>a、制定各类环保设施的操作、维护、保养、事故处理等技术规范和制度，确保环保设施正常运转。</w:t>
            </w:r>
          </w:p>
          <w:p>
            <w:pPr>
              <w:spacing w:line="360" w:lineRule="auto"/>
              <w:ind w:firstLine="480" w:firstLineChars="200"/>
              <w:rPr>
                <w:sz w:val="24"/>
              </w:rPr>
            </w:pPr>
            <w:r>
              <w:rPr>
                <w:sz w:val="24"/>
              </w:rPr>
              <w:t>b、制定可行的环保工作奖惩考核指标，与生产指标一同下达，并监督实施。</w:t>
            </w:r>
          </w:p>
          <w:p>
            <w:pPr>
              <w:spacing w:line="360" w:lineRule="auto"/>
              <w:ind w:firstLine="480" w:firstLineChars="200"/>
              <w:rPr>
                <w:sz w:val="24"/>
              </w:rPr>
            </w:pPr>
            <w:r>
              <w:rPr>
                <w:sz w:val="24"/>
              </w:rPr>
              <w:t>c、组织对大气污染、水污染物、噪声污染源等进行监测并加强污染源管理。</w:t>
            </w:r>
          </w:p>
          <w:p>
            <w:pPr>
              <w:spacing w:line="360" w:lineRule="auto"/>
              <w:ind w:firstLine="480" w:firstLineChars="200"/>
              <w:rPr>
                <w:sz w:val="24"/>
              </w:rPr>
            </w:pPr>
            <w:r>
              <w:rPr>
                <w:sz w:val="24"/>
              </w:rPr>
              <w:t>d、组织员工学习环保法规和相关环保科技知识，提高职工环保意识。</w:t>
            </w:r>
          </w:p>
          <w:p>
            <w:pPr>
              <w:spacing w:line="360" w:lineRule="auto"/>
              <w:ind w:firstLine="480" w:firstLineChars="200"/>
              <w:rPr>
                <w:sz w:val="24"/>
              </w:rPr>
            </w:pPr>
            <w:r>
              <w:rPr>
                <w:sz w:val="24"/>
              </w:rPr>
              <w:t>e、建立事故应急制度及污染源档案，按规定向上级主管部门报送环境报表。</w:t>
            </w:r>
          </w:p>
          <w:p>
            <w:pPr>
              <w:spacing w:line="360" w:lineRule="auto"/>
              <w:ind w:firstLine="480" w:firstLineChars="200"/>
              <w:rPr>
                <w:sz w:val="24"/>
              </w:rPr>
            </w:pPr>
            <w:r>
              <w:rPr>
                <w:sz w:val="24"/>
              </w:rPr>
              <w:t>f、负责厂区排污口的规范化整治和环境保护图形标志牌</w:t>
            </w:r>
          </w:p>
          <w:p>
            <w:pPr>
              <w:spacing w:line="360" w:lineRule="auto"/>
              <w:ind w:firstLine="480" w:firstLineChars="200"/>
              <w:rPr>
                <w:sz w:val="24"/>
              </w:rPr>
            </w:pPr>
            <w:r>
              <w:rPr>
                <w:sz w:val="24"/>
              </w:rPr>
              <w:t>（2）自行监测计划</w:t>
            </w:r>
          </w:p>
          <w:p>
            <w:pPr>
              <w:spacing w:line="360" w:lineRule="auto"/>
              <w:ind w:firstLine="480" w:firstLineChars="200"/>
              <w:rPr>
                <w:sz w:val="24"/>
              </w:rPr>
            </w:pPr>
            <w:r>
              <w:rPr>
                <w:sz w:val="24"/>
              </w:rPr>
              <w:t>通过对建设项目实行全过程的监控，就能准确无误地了解工程项目在运营期对环境造成污染影响的程度和范围。通过对环境监测或调查数据的统计分析，可以了解建设项目运营期废气、废水、噪声等污染源对环境影响是否能够符合国家或地方的有关环境质量标准的要求，做到达标排放。同时也是对废气、废水、噪声污染治理设施的检验，使之能及时发现存在的问题，并对污染治理设施进行改善和完善，从而保证污染治理设施的正常运行，本项目环境监测计划如下表所示。</w:t>
            </w:r>
          </w:p>
          <w:p>
            <w:pPr>
              <w:jc w:val="center"/>
              <w:rPr>
                <w:szCs w:val="21"/>
              </w:rPr>
            </w:pPr>
            <w:r>
              <w:rPr>
                <w:b/>
                <w:bCs/>
                <w:szCs w:val="21"/>
              </w:rPr>
              <w:t>表7-</w:t>
            </w:r>
            <w:r>
              <w:rPr>
                <w:rFonts w:hint="eastAsia"/>
                <w:b/>
                <w:bCs/>
                <w:szCs w:val="21"/>
                <w:lang w:val="en-US" w:eastAsia="zh-CN"/>
              </w:rPr>
              <w:t xml:space="preserve">23  </w:t>
            </w:r>
            <w:r>
              <w:rPr>
                <w:b/>
                <w:bCs/>
                <w:szCs w:val="21"/>
              </w:rPr>
              <w:t xml:space="preserve"> 营运期环境监测计划一览表</w:t>
            </w:r>
          </w:p>
          <w:tbl>
            <w:tblPr>
              <w:tblStyle w:val="15"/>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1336"/>
              <w:gridCol w:w="1780"/>
              <w:gridCol w:w="4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trPr>
              <w:tc>
                <w:tcPr>
                  <w:tcW w:w="1077" w:type="dxa"/>
                  <w:noWrap/>
                  <w:vAlign w:val="center"/>
                </w:tcPr>
                <w:p>
                  <w:pPr>
                    <w:jc w:val="center"/>
                    <w:rPr>
                      <w:szCs w:val="21"/>
                    </w:rPr>
                  </w:pPr>
                  <w:r>
                    <w:rPr>
                      <w:szCs w:val="21"/>
                    </w:rPr>
                    <w:t>监测点位</w:t>
                  </w:r>
                </w:p>
              </w:tc>
              <w:tc>
                <w:tcPr>
                  <w:tcW w:w="1336" w:type="dxa"/>
                  <w:noWrap/>
                  <w:vAlign w:val="center"/>
                </w:tcPr>
                <w:p>
                  <w:pPr>
                    <w:jc w:val="center"/>
                    <w:rPr>
                      <w:szCs w:val="21"/>
                    </w:rPr>
                  </w:pPr>
                  <w:r>
                    <w:rPr>
                      <w:szCs w:val="21"/>
                    </w:rPr>
                    <w:t>监测指标</w:t>
                  </w:r>
                </w:p>
              </w:tc>
              <w:tc>
                <w:tcPr>
                  <w:tcW w:w="1780" w:type="dxa"/>
                  <w:noWrap/>
                  <w:vAlign w:val="center"/>
                </w:tcPr>
                <w:p>
                  <w:pPr>
                    <w:jc w:val="center"/>
                    <w:rPr>
                      <w:szCs w:val="21"/>
                    </w:rPr>
                  </w:pPr>
                  <w:r>
                    <w:rPr>
                      <w:szCs w:val="21"/>
                    </w:rPr>
                    <w:t>监测频次</w:t>
                  </w:r>
                </w:p>
              </w:tc>
              <w:tc>
                <w:tcPr>
                  <w:tcW w:w="4103" w:type="dxa"/>
                  <w:noWrap/>
                  <w:vAlign w:val="center"/>
                </w:tcPr>
                <w:p>
                  <w:pPr>
                    <w:jc w:val="center"/>
                    <w:rPr>
                      <w:szCs w:val="21"/>
                    </w:rPr>
                  </w:pPr>
                  <w:r>
                    <w:rPr>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77" w:type="dxa"/>
                  <w:noWrap/>
                  <w:vAlign w:val="center"/>
                </w:tcPr>
                <w:p>
                  <w:pPr>
                    <w:jc w:val="center"/>
                    <w:rPr>
                      <w:szCs w:val="21"/>
                    </w:rPr>
                  </w:pPr>
                  <w:r>
                    <w:rPr>
                      <w:rFonts w:hint="eastAsia"/>
                      <w:kern w:val="0"/>
                      <w:szCs w:val="21"/>
                      <w:lang w:val="en-US" w:eastAsia="zh-CN"/>
                    </w:rPr>
                    <w:t>W</w:t>
                  </w:r>
                  <w:r>
                    <w:rPr>
                      <w:kern w:val="0"/>
                      <w:szCs w:val="21"/>
                    </w:rPr>
                    <w:t>1</w:t>
                  </w:r>
                </w:p>
              </w:tc>
              <w:tc>
                <w:tcPr>
                  <w:tcW w:w="1336" w:type="dxa"/>
                  <w:noWrap/>
                  <w:vAlign w:val="center"/>
                </w:tcPr>
                <w:p>
                  <w:pPr>
                    <w:jc w:val="center"/>
                    <w:rPr>
                      <w:szCs w:val="21"/>
                    </w:rPr>
                  </w:pPr>
                  <w:r>
                    <w:rPr>
                      <w:szCs w:val="21"/>
                    </w:rPr>
                    <w:t>SS、BOD</w:t>
                  </w:r>
                  <w:r>
                    <w:rPr>
                      <w:szCs w:val="21"/>
                      <w:vertAlign w:val="subscript"/>
                    </w:rPr>
                    <w:t>5</w:t>
                  </w:r>
                  <w:r>
                    <w:rPr>
                      <w:szCs w:val="21"/>
                    </w:rPr>
                    <w:t>、COD</w:t>
                  </w:r>
                  <w:r>
                    <w:rPr>
                      <w:szCs w:val="21"/>
                      <w:vertAlign w:val="subscript"/>
                    </w:rPr>
                    <w:t>Cr</w:t>
                  </w:r>
                  <w:r>
                    <w:rPr>
                      <w:szCs w:val="21"/>
                    </w:rPr>
                    <w:t>、氨氮</w:t>
                  </w:r>
                </w:p>
              </w:tc>
              <w:tc>
                <w:tcPr>
                  <w:tcW w:w="1780" w:type="dxa"/>
                  <w:noWrap/>
                  <w:vAlign w:val="center"/>
                </w:tcPr>
                <w:p>
                  <w:pPr>
                    <w:jc w:val="center"/>
                    <w:rPr>
                      <w:szCs w:val="21"/>
                    </w:rPr>
                  </w:pPr>
                  <w:r>
                    <w:rPr>
                      <w:szCs w:val="21"/>
                    </w:rPr>
                    <w:t>每半年一次，全年共2次</w:t>
                  </w:r>
                </w:p>
              </w:tc>
              <w:tc>
                <w:tcPr>
                  <w:tcW w:w="4103" w:type="dxa"/>
                  <w:noWrap/>
                  <w:vAlign w:val="center"/>
                </w:tcPr>
                <w:p>
                  <w:pPr>
                    <w:jc w:val="center"/>
                    <w:rPr>
                      <w:szCs w:val="21"/>
                    </w:rPr>
                  </w:pPr>
                  <w:r>
                    <w:rPr>
                      <w:szCs w:val="21"/>
                    </w:rPr>
                    <w:t>广东省地方标准《水污染物排放限值》（DB44/26-2001）中第二时段三级标准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77" w:type="dxa"/>
                  <w:noWrap/>
                  <w:vAlign w:val="center"/>
                </w:tcPr>
                <w:p>
                  <w:pPr>
                    <w:jc w:val="center"/>
                    <w:rPr>
                      <w:szCs w:val="21"/>
                    </w:rPr>
                  </w:pPr>
                  <w:r>
                    <w:rPr>
                      <w:rFonts w:hint="eastAsia"/>
                      <w:szCs w:val="21"/>
                      <w:lang w:val="en-US" w:eastAsia="zh-CN"/>
                    </w:rPr>
                    <w:t>G</w:t>
                  </w:r>
                  <w:r>
                    <w:rPr>
                      <w:szCs w:val="21"/>
                    </w:rPr>
                    <w:t>1</w:t>
                  </w:r>
                </w:p>
              </w:tc>
              <w:tc>
                <w:tcPr>
                  <w:tcW w:w="1336" w:type="dxa"/>
                  <w:noWrap/>
                  <w:vAlign w:val="center"/>
                </w:tcPr>
                <w:p>
                  <w:pPr>
                    <w:jc w:val="center"/>
                    <w:rPr>
                      <w:szCs w:val="21"/>
                    </w:rPr>
                  </w:pPr>
                  <w:r>
                    <w:rPr>
                      <w:szCs w:val="21"/>
                    </w:rPr>
                    <w:t>颗粒物</w:t>
                  </w:r>
                </w:p>
              </w:tc>
              <w:tc>
                <w:tcPr>
                  <w:tcW w:w="1780" w:type="dxa"/>
                  <w:noWrap/>
                  <w:vAlign w:val="center"/>
                </w:tcPr>
                <w:p>
                  <w:pPr>
                    <w:jc w:val="center"/>
                    <w:rPr>
                      <w:szCs w:val="21"/>
                    </w:rPr>
                  </w:pPr>
                  <w:r>
                    <w:rPr>
                      <w:szCs w:val="21"/>
                    </w:rPr>
                    <w:t>每季度一次</w:t>
                  </w:r>
                </w:p>
                <w:p>
                  <w:pPr>
                    <w:jc w:val="center"/>
                    <w:rPr>
                      <w:szCs w:val="21"/>
                    </w:rPr>
                  </w:pPr>
                  <w:r>
                    <w:rPr>
                      <w:szCs w:val="21"/>
                    </w:rPr>
                    <w:t>全年共 4 次</w:t>
                  </w:r>
                </w:p>
              </w:tc>
              <w:tc>
                <w:tcPr>
                  <w:tcW w:w="4103" w:type="dxa"/>
                  <w:noWrap/>
                  <w:vAlign w:val="center"/>
                </w:tcPr>
                <w:p>
                  <w:pPr>
                    <w:jc w:val="center"/>
                    <w:rPr>
                      <w:szCs w:val="21"/>
                    </w:rPr>
                  </w:pPr>
                  <w:r>
                    <w:rPr>
                      <w:szCs w:val="21"/>
                    </w:rPr>
                    <w:t>广东省地方标准《大气污染物排放限值》（DB44/27-2001）第二时段二级标准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77" w:type="dxa"/>
                  <w:noWrap/>
                  <w:vAlign w:val="center"/>
                </w:tcPr>
                <w:p>
                  <w:pPr>
                    <w:jc w:val="center"/>
                    <w:rPr>
                      <w:szCs w:val="21"/>
                    </w:rPr>
                  </w:pPr>
                  <w:r>
                    <w:rPr>
                      <w:rFonts w:hint="eastAsia"/>
                      <w:szCs w:val="21"/>
                      <w:lang w:val="en-US" w:eastAsia="zh-CN"/>
                    </w:rPr>
                    <w:t>G</w:t>
                  </w:r>
                  <w:r>
                    <w:rPr>
                      <w:szCs w:val="21"/>
                    </w:rPr>
                    <w:t>2</w:t>
                  </w:r>
                </w:p>
              </w:tc>
              <w:tc>
                <w:tcPr>
                  <w:tcW w:w="1336" w:type="dxa"/>
                  <w:noWrap/>
                  <w:vAlign w:val="center"/>
                </w:tcPr>
                <w:p>
                  <w:pPr>
                    <w:jc w:val="center"/>
                    <w:rPr>
                      <w:rFonts w:hint="eastAsia" w:eastAsia="宋体"/>
                      <w:szCs w:val="21"/>
                      <w:lang w:eastAsia="zh-CN"/>
                    </w:rPr>
                  </w:pPr>
                  <w:r>
                    <w:rPr>
                      <w:rFonts w:hint="eastAsia"/>
                      <w:b w:val="0"/>
                      <w:bCs w:val="0"/>
                      <w:szCs w:val="21"/>
                      <w:vertAlign w:val="baseline"/>
                      <w:lang w:val="en-US" w:eastAsia="zh-CN"/>
                    </w:rPr>
                    <w:t>烟尘、</w:t>
                  </w:r>
                  <w:r>
                    <w:rPr>
                      <w:szCs w:val="21"/>
                    </w:rPr>
                    <w:t>SO</w:t>
                  </w:r>
                  <w:r>
                    <w:rPr>
                      <w:szCs w:val="21"/>
                      <w:vertAlign w:val="subscript"/>
                    </w:rPr>
                    <w:t>2</w:t>
                  </w:r>
                  <w:r>
                    <w:rPr>
                      <w:rFonts w:hint="eastAsia"/>
                      <w:szCs w:val="21"/>
                    </w:rPr>
                    <w:t>、</w:t>
                  </w:r>
                  <w:r>
                    <w:rPr>
                      <w:szCs w:val="21"/>
                    </w:rPr>
                    <w:t>NO</w:t>
                  </w:r>
                  <w:r>
                    <w:rPr>
                      <w:szCs w:val="21"/>
                      <w:vertAlign w:val="subscript"/>
                    </w:rPr>
                    <w:t>X</w:t>
                  </w:r>
                  <w:r>
                    <w:rPr>
                      <w:rFonts w:hint="eastAsia"/>
                      <w:b w:val="0"/>
                      <w:bCs w:val="0"/>
                      <w:szCs w:val="21"/>
                      <w:vertAlign w:val="baseline"/>
                      <w:lang w:eastAsia="zh-CN"/>
                    </w:rPr>
                    <w:t>；</w:t>
                  </w:r>
                  <w:r>
                    <w:rPr>
                      <w:szCs w:val="21"/>
                    </w:rPr>
                    <w:t>VOC</w:t>
                  </w:r>
                  <w:r>
                    <w:rPr>
                      <w:szCs w:val="21"/>
                      <w:vertAlign w:val="subscript"/>
                    </w:rPr>
                    <w:t>S</w:t>
                  </w:r>
                </w:p>
              </w:tc>
              <w:tc>
                <w:tcPr>
                  <w:tcW w:w="1780" w:type="dxa"/>
                  <w:noWrap/>
                  <w:vAlign w:val="center"/>
                </w:tcPr>
                <w:p>
                  <w:pPr>
                    <w:jc w:val="center"/>
                    <w:rPr>
                      <w:szCs w:val="21"/>
                    </w:rPr>
                  </w:pPr>
                  <w:r>
                    <w:rPr>
                      <w:szCs w:val="21"/>
                    </w:rPr>
                    <w:t>每季度一次</w:t>
                  </w:r>
                </w:p>
                <w:p>
                  <w:pPr>
                    <w:jc w:val="center"/>
                    <w:rPr>
                      <w:szCs w:val="21"/>
                    </w:rPr>
                  </w:pPr>
                  <w:r>
                    <w:rPr>
                      <w:szCs w:val="21"/>
                    </w:rPr>
                    <w:t>全年共 4 次</w:t>
                  </w:r>
                </w:p>
              </w:tc>
              <w:tc>
                <w:tcPr>
                  <w:tcW w:w="4103" w:type="dxa"/>
                  <w:noWrap/>
                  <w:vAlign w:val="center"/>
                </w:tcPr>
                <w:p>
                  <w:pPr>
                    <w:jc w:val="center"/>
                    <w:rPr>
                      <w:rFonts w:hint="eastAsia" w:eastAsia="宋体"/>
                      <w:lang w:eastAsia="zh-CN"/>
                    </w:rPr>
                  </w:pPr>
                  <w:r>
                    <w:rPr>
                      <w:rFonts w:hint="eastAsia"/>
                    </w:rPr>
                    <w:t>广东省《锅炉大气污染物排放标准》（DB 44/765-2019）中新建燃气锅炉标准</w:t>
                  </w:r>
                  <w:r>
                    <w:rPr>
                      <w:rFonts w:hint="eastAsia"/>
                      <w:lang w:eastAsia="zh-CN"/>
                    </w:rPr>
                    <w:t>；</w:t>
                  </w:r>
                </w:p>
                <w:p>
                  <w:pPr>
                    <w:jc w:val="center"/>
                  </w:pPr>
                  <w:r>
                    <w:rPr>
                      <w:rFonts w:hint="eastAsia"/>
                    </w:rPr>
                    <w:t>广东省《家具制造行业挥发性有机化合物排放标准》（DB44/814-2010）第Ⅱ时段限值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77" w:type="dxa"/>
                  <w:noWrap/>
                  <w:vAlign w:val="center"/>
                </w:tcPr>
                <w:p>
                  <w:pPr>
                    <w:jc w:val="center"/>
                    <w:rPr>
                      <w:szCs w:val="21"/>
                    </w:rPr>
                  </w:pPr>
                  <w:r>
                    <w:rPr>
                      <w:szCs w:val="21"/>
                    </w:rPr>
                    <w:t>厂界上下风向界外</w:t>
                  </w:r>
                </w:p>
              </w:tc>
              <w:tc>
                <w:tcPr>
                  <w:tcW w:w="1336" w:type="dxa"/>
                  <w:noWrap/>
                  <w:vAlign w:val="center"/>
                </w:tcPr>
                <w:p>
                  <w:pPr>
                    <w:jc w:val="center"/>
                    <w:rPr>
                      <w:szCs w:val="21"/>
                    </w:rPr>
                  </w:pPr>
                  <w:r>
                    <w:rPr>
                      <w:szCs w:val="21"/>
                    </w:rPr>
                    <w:t>颗粒物</w:t>
                  </w:r>
                </w:p>
              </w:tc>
              <w:tc>
                <w:tcPr>
                  <w:tcW w:w="1780" w:type="dxa"/>
                  <w:noWrap/>
                  <w:vAlign w:val="center"/>
                </w:tcPr>
                <w:p>
                  <w:pPr>
                    <w:jc w:val="center"/>
                    <w:rPr>
                      <w:szCs w:val="21"/>
                    </w:rPr>
                  </w:pPr>
                  <w:r>
                    <w:rPr>
                      <w:szCs w:val="21"/>
                    </w:rPr>
                    <w:t>每季度一次</w:t>
                  </w:r>
                </w:p>
                <w:p>
                  <w:pPr>
                    <w:jc w:val="center"/>
                    <w:rPr>
                      <w:szCs w:val="21"/>
                    </w:rPr>
                  </w:pPr>
                  <w:r>
                    <w:rPr>
                      <w:szCs w:val="21"/>
                    </w:rPr>
                    <w:t>全年共 4 次</w:t>
                  </w:r>
                </w:p>
              </w:tc>
              <w:tc>
                <w:tcPr>
                  <w:tcW w:w="4103" w:type="dxa"/>
                  <w:noWrap/>
                  <w:vAlign w:val="center"/>
                </w:tcPr>
                <w:p>
                  <w:pPr>
                    <w:jc w:val="center"/>
                    <w:rPr>
                      <w:szCs w:val="21"/>
                    </w:rPr>
                  </w:pPr>
                  <w:r>
                    <w:rPr>
                      <w:szCs w:val="21"/>
                    </w:rPr>
                    <w:t>广东省地方标准《大气污染物排放限值》（DB44/27-2001）无组织排放监控浓度限值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77" w:type="dxa"/>
                  <w:noWrap/>
                  <w:vAlign w:val="center"/>
                </w:tcPr>
                <w:p>
                  <w:pPr>
                    <w:jc w:val="center"/>
                    <w:rPr>
                      <w:szCs w:val="21"/>
                    </w:rPr>
                  </w:pPr>
                  <w:r>
                    <w:rPr>
                      <w:szCs w:val="21"/>
                    </w:rPr>
                    <w:t>厂界上下风向界外</w:t>
                  </w:r>
                </w:p>
              </w:tc>
              <w:tc>
                <w:tcPr>
                  <w:tcW w:w="1336" w:type="dxa"/>
                  <w:noWrap/>
                  <w:vAlign w:val="center"/>
                </w:tcPr>
                <w:p>
                  <w:pPr>
                    <w:jc w:val="center"/>
                    <w:rPr>
                      <w:szCs w:val="21"/>
                    </w:rPr>
                  </w:pPr>
                  <w:r>
                    <w:rPr>
                      <w:szCs w:val="21"/>
                    </w:rPr>
                    <w:t>VOC</w:t>
                  </w:r>
                  <w:r>
                    <w:rPr>
                      <w:szCs w:val="21"/>
                      <w:vertAlign w:val="subscript"/>
                    </w:rPr>
                    <w:t>S</w:t>
                  </w:r>
                </w:p>
              </w:tc>
              <w:tc>
                <w:tcPr>
                  <w:tcW w:w="1780" w:type="dxa"/>
                  <w:noWrap/>
                  <w:vAlign w:val="center"/>
                </w:tcPr>
                <w:p>
                  <w:pPr>
                    <w:jc w:val="center"/>
                    <w:rPr>
                      <w:szCs w:val="21"/>
                    </w:rPr>
                  </w:pPr>
                  <w:r>
                    <w:rPr>
                      <w:szCs w:val="21"/>
                    </w:rPr>
                    <w:t>每季度一次</w:t>
                  </w:r>
                </w:p>
                <w:p>
                  <w:pPr>
                    <w:jc w:val="center"/>
                    <w:rPr>
                      <w:szCs w:val="21"/>
                    </w:rPr>
                  </w:pPr>
                  <w:r>
                    <w:rPr>
                      <w:szCs w:val="21"/>
                    </w:rPr>
                    <w:t>全年共 4 次</w:t>
                  </w:r>
                </w:p>
              </w:tc>
              <w:tc>
                <w:tcPr>
                  <w:tcW w:w="4103" w:type="dxa"/>
                  <w:noWrap/>
                  <w:vAlign w:val="center"/>
                </w:tcPr>
                <w:p>
                  <w:pPr>
                    <w:jc w:val="center"/>
                    <w:rPr>
                      <w:szCs w:val="21"/>
                    </w:rPr>
                  </w:pPr>
                  <w:r>
                    <w:rPr>
                      <w:rFonts w:hint="eastAsia"/>
                    </w:rPr>
                    <w:t>广东省《家具制造行业挥发性有机化合物排放标准》（DB44/814-2010）第Ⅱ时段限值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77" w:type="dxa"/>
                  <w:noWrap/>
                  <w:vAlign w:val="center"/>
                </w:tcPr>
                <w:p>
                  <w:pPr>
                    <w:jc w:val="center"/>
                    <w:rPr>
                      <w:szCs w:val="21"/>
                    </w:rPr>
                  </w:pPr>
                  <w:r>
                    <w:rPr>
                      <w:szCs w:val="21"/>
                    </w:rPr>
                    <w:t>厂界四周边界</w:t>
                  </w:r>
                </w:p>
              </w:tc>
              <w:tc>
                <w:tcPr>
                  <w:tcW w:w="1336" w:type="dxa"/>
                  <w:noWrap/>
                  <w:vAlign w:val="center"/>
                </w:tcPr>
                <w:p>
                  <w:pPr>
                    <w:jc w:val="center"/>
                    <w:rPr>
                      <w:szCs w:val="21"/>
                    </w:rPr>
                  </w:pPr>
                  <w:r>
                    <w:rPr>
                      <w:szCs w:val="21"/>
                    </w:rPr>
                    <w:t>连续等效A声级</w:t>
                  </w:r>
                </w:p>
              </w:tc>
              <w:tc>
                <w:tcPr>
                  <w:tcW w:w="1780" w:type="dxa"/>
                  <w:noWrap/>
                  <w:vAlign w:val="center"/>
                </w:tcPr>
                <w:p>
                  <w:pPr>
                    <w:jc w:val="center"/>
                    <w:rPr>
                      <w:szCs w:val="21"/>
                    </w:rPr>
                  </w:pPr>
                  <w:r>
                    <w:rPr>
                      <w:szCs w:val="21"/>
                    </w:rPr>
                    <w:t>每季度一次，全年共4次，每次昼间进行</w:t>
                  </w:r>
                </w:p>
              </w:tc>
              <w:tc>
                <w:tcPr>
                  <w:tcW w:w="4103" w:type="dxa"/>
                  <w:noWrap/>
                  <w:vAlign w:val="center"/>
                </w:tcPr>
                <w:p>
                  <w:pPr>
                    <w:jc w:val="center"/>
                    <w:rPr>
                      <w:szCs w:val="21"/>
                    </w:rPr>
                  </w:pPr>
                  <w:r>
                    <w:rPr>
                      <w:szCs w:val="21"/>
                    </w:rPr>
                    <w:t>《工业企业厂界环境噪声排放标准》（GB12348-2008）2 类标准的要求</w:t>
                  </w:r>
                </w:p>
              </w:tc>
            </w:tr>
          </w:tbl>
          <w:p>
            <w:pPr>
              <w:adjustRightInd w:val="0"/>
              <w:snapToGrid w:val="0"/>
              <w:spacing w:line="360" w:lineRule="auto"/>
              <w:ind w:firstLine="482" w:firstLineChars="200"/>
              <w:rPr>
                <w:rFonts w:hint="eastAsia"/>
                <w:b/>
                <w:sz w:val="24"/>
              </w:rPr>
            </w:pPr>
          </w:p>
          <w:p>
            <w:pPr>
              <w:adjustRightInd w:val="0"/>
              <w:snapToGrid w:val="0"/>
              <w:spacing w:line="360" w:lineRule="auto"/>
              <w:ind w:firstLine="482" w:firstLineChars="200"/>
              <w:rPr>
                <w:b/>
                <w:sz w:val="24"/>
              </w:rPr>
            </w:pPr>
            <w:r>
              <w:rPr>
                <w:rFonts w:hint="eastAsia"/>
                <w:b/>
                <w:sz w:val="24"/>
              </w:rPr>
              <w:t>7</w:t>
            </w:r>
            <w:r>
              <w:rPr>
                <w:b/>
                <w:sz w:val="24"/>
              </w:rPr>
              <w:t>、项目“三同时”验收</w:t>
            </w:r>
          </w:p>
          <w:p>
            <w:pPr>
              <w:adjustRightInd w:val="0"/>
              <w:snapToGrid w:val="0"/>
              <w:spacing w:line="360" w:lineRule="auto"/>
              <w:ind w:firstLine="480" w:firstLineChars="200"/>
              <w:rPr>
                <w:sz w:val="24"/>
                <w:lang w:val="zh-CN"/>
              </w:rPr>
            </w:pPr>
            <w:r>
              <w:rPr>
                <w:sz w:val="24"/>
                <w:lang w:val="zh-CN"/>
              </w:rPr>
              <w:t>本项目设计到的各项环保措施必须按照要求落实到位，污染治理措施验收项目见下表。</w:t>
            </w:r>
          </w:p>
          <w:p>
            <w:pPr>
              <w:jc w:val="center"/>
              <w:rPr>
                <w:b/>
                <w:szCs w:val="21"/>
              </w:rPr>
            </w:pPr>
          </w:p>
          <w:p>
            <w:pPr>
              <w:jc w:val="center"/>
              <w:rPr>
                <w:b/>
                <w:szCs w:val="21"/>
              </w:rPr>
            </w:pPr>
          </w:p>
          <w:p>
            <w:pPr>
              <w:jc w:val="center"/>
              <w:rPr>
                <w:b/>
                <w:szCs w:val="21"/>
              </w:rPr>
            </w:pPr>
          </w:p>
          <w:p>
            <w:pPr>
              <w:jc w:val="center"/>
              <w:rPr>
                <w:b/>
                <w:szCs w:val="21"/>
              </w:rPr>
            </w:pPr>
            <w:r>
              <w:rPr>
                <w:b/>
                <w:szCs w:val="21"/>
              </w:rPr>
              <w:t>表</w:t>
            </w:r>
            <w:r>
              <w:rPr>
                <w:rFonts w:hint="eastAsia"/>
                <w:b/>
                <w:szCs w:val="21"/>
              </w:rPr>
              <w:t>7-</w:t>
            </w:r>
            <w:r>
              <w:rPr>
                <w:rFonts w:hint="eastAsia"/>
                <w:b/>
                <w:szCs w:val="21"/>
                <w:lang w:val="en-US" w:eastAsia="zh-CN"/>
              </w:rPr>
              <w:t>24</w:t>
            </w:r>
            <w:r>
              <w:rPr>
                <w:rFonts w:hint="eastAsia"/>
                <w:b/>
                <w:szCs w:val="21"/>
              </w:rPr>
              <w:t xml:space="preserve">  </w:t>
            </w:r>
            <w:r>
              <w:rPr>
                <w:b/>
                <w:szCs w:val="21"/>
              </w:rPr>
              <w:t>项目环保“三同时”验收一览表</w:t>
            </w:r>
          </w:p>
          <w:tbl>
            <w:tblPr>
              <w:tblStyle w:val="15"/>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2132"/>
              <w:gridCol w:w="2055"/>
              <w:gridCol w:w="2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83" w:hRule="atLeast"/>
                <w:jc w:val="center"/>
              </w:trPr>
              <w:tc>
                <w:tcPr>
                  <w:tcW w:w="1240" w:type="dxa"/>
                  <w:tcBorders>
                    <w:tl2br w:val="nil"/>
                    <w:tr2bl w:val="nil"/>
                  </w:tcBorders>
                  <w:vAlign w:val="center"/>
                </w:tcPr>
                <w:p>
                  <w:pPr>
                    <w:snapToGrid w:val="0"/>
                    <w:jc w:val="center"/>
                    <w:rPr>
                      <w:b/>
                      <w:szCs w:val="21"/>
                    </w:rPr>
                  </w:pPr>
                  <w:r>
                    <w:rPr>
                      <w:b/>
                      <w:szCs w:val="21"/>
                    </w:rPr>
                    <w:t>治理对象</w:t>
                  </w:r>
                </w:p>
              </w:tc>
              <w:tc>
                <w:tcPr>
                  <w:tcW w:w="2132" w:type="dxa"/>
                  <w:tcBorders>
                    <w:tl2br w:val="nil"/>
                    <w:tr2bl w:val="nil"/>
                  </w:tcBorders>
                  <w:vAlign w:val="center"/>
                </w:tcPr>
                <w:p>
                  <w:pPr>
                    <w:snapToGrid w:val="0"/>
                    <w:jc w:val="center"/>
                    <w:rPr>
                      <w:b/>
                      <w:szCs w:val="21"/>
                    </w:rPr>
                  </w:pPr>
                  <w:r>
                    <w:rPr>
                      <w:rFonts w:hint="eastAsia"/>
                      <w:b/>
                      <w:szCs w:val="21"/>
                    </w:rPr>
                    <w:t>主要</w:t>
                  </w:r>
                  <w:r>
                    <w:rPr>
                      <w:b/>
                      <w:szCs w:val="21"/>
                    </w:rPr>
                    <w:t>环保措施</w:t>
                  </w:r>
                </w:p>
              </w:tc>
              <w:tc>
                <w:tcPr>
                  <w:tcW w:w="2055" w:type="dxa"/>
                  <w:tcBorders>
                    <w:tl2br w:val="nil"/>
                    <w:tr2bl w:val="nil"/>
                  </w:tcBorders>
                  <w:vAlign w:val="center"/>
                </w:tcPr>
                <w:p>
                  <w:pPr>
                    <w:snapToGrid w:val="0"/>
                    <w:jc w:val="center"/>
                    <w:rPr>
                      <w:b/>
                      <w:szCs w:val="21"/>
                    </w:rPr>
                  </w:pPr>
                  <w:r>
                    <w:rPr>
                      <w:b/>
                      <w:szCs w:val="21"/>
                    </w:rPr>
                    <w:t>验收指标</w:t>
                  </w:r>
                </w:p>
              </w:tc>
              <w:tc>
                <w:tcPr>
                  <w:tcW w:w="2869" w:type="dxa"/>
                  <w:tcBorders>
                    <w:tl2br w:val="nil"/>
                    <w:tr2bl w:val="nil"/>
                  </w:tcBorders>
                  <w:vAlign w:val="center"/>
                </w:tcPr>
                <w:p>
                  <w:pPr>
                    <w:snapToGrid w:val="0"/>
                    <w:jc w:val="center"/>
                    <w:rPr>
                      <w:b/>
                      <w:szCs w:val="21"/>
                    </w:rPr>
                  </w:pPr>
                  <w:r>
                    <w:rPr>
                      <w:b/>
                      <w:szCs w:val="21"/>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29" w:hRule="atLeast"/>
                <w:jc w:val="center"/>
              </w:trPr>
              <w:tc>
                <w:tcPr>
                  <w:tcW w:w="1240" w:type="dxa"/>
                  <w:tcBorders>
                    <w:tl2br w:val="nil"/>
                    <w:tr2bl w:val="nil"/>
                  </w:tcBorders>
                  <w:vAlign w:val="center"/>
                </w:tcPr>
                <w:p>
                  <w:pPr>
                    <w:snapToGrid w:val="0"/>
                    <w:jc w:val="center"/>
                    <w:rPr>
                      <w:szCs w:val="21"/>
                    </w:rPr>
                  </w:pPr>
                  <w:r>
                    <w:rPr>
                      <w:rFonts w:hint="eastAsia"/>
                      <w:szCs w:val="21"/>
                      <w:lang w:val="en-US" w:eastAsia="zh-CN"/>
                    </w:rPr>
                    <w:t>固化</w:t>
                  </w:r>
                  <w:r>
                    <w:rPr>
                      <w:rFonts w:hint="eastAsia"/>
                      <w:szCs w:val="21"/>
                    </w:rPr>
                    <w:t>废气</w:t>
                  </w:r>
                </w:p>
              </w:tc>
              <w:tc>
                <w:tcPr>
                  <w:tcW w:w="2132" w:type="dxa"/>
                  <w:tcBorders>
                    <w:tl2br w:val="nil"/>
                    <w:tr2bl w:val="nil"/>
                  </w:tcBorders>
                  <w:vAlign w:val="center"/>
                </w:tcPr>
                <w:p>
                  <w:pPr>
                    <w:snapToGrid w:val="0"/>
                    <w:jc w:val="center"/>
                    <w:rPr>
                      <w:szCs w:val="21"/>
                    </w:rPr>
                  </w:pPr>
                  <w:r>
                    <w:rPr>
                      <w:rFonts w:hint="eastAsia"/>
                      <w:szCs w:val="21"/>
                      <w:lang w:val="en-US" w:eastAsia="zh-CN"/>
                    </w:rPr>
                    <w:t>水喷淋+</w:t>
                  </w:r>
                  <w:r>
                    <w:rPr>
                      <w:szCs w:val="21"/>
                    </w:rPr>
                    <w:t>UV光解+活性炭；加强车间的机械通风</w:t>
                  </w:r>
                </w:p>
              </w:tc>
              <w:tc>
                <w:tcPr>
                  <w:tcW w:w="2055" w:type="dxa"/>
                  <w:tcBorders>
                    <w:tl2br w:val="nil"/>
                    <w:tr2bl w:val="nil"/>
                  </w:tcBorders>
                  <w:vAlign w:val="center"/>
                </w:tcPr>
                <w:p>
                  <w:pPr>
                    <w:snapToGrid w:val="0"/>
                    <w:ind w:left="840" w:hanging="840" w:hangingChars="400"/>
                    <w:rPr>
                      <w:snapToGrid w:val="0"/>
                      <w:szCs w:val="21"/>
                      <w:vertAlign w:val="superscript"/>
                    </w:rPr>
                  </w:pPr>
                  <w:r>
                    <w:rPr>
                      <w:snapToGrid w:val="0"/>
                      <w:szCs w:val="21"/>
                    </w:rPr>
                    <w:t>有组织：≤90 mg/m</w:t>
                  </w:r>
                  <w:r>
                    <w:rPr>
                      <w:snapToGrid w:val="0"/>
                      <w:szCs w:val="21"/>
                      <w:vertAlign w:val="superscript"/>
                    </w:rPr>
                    <w:t>3</w:t>
                  </w:r>
                </w:p>
                <w:p>
                  <w:pPr>
                    <w:snapToGrid w:val="0"/>
                    <w:ind w:left="840" w:leftChars="300" w:hanging="210" w:hangingChars="100"/>
                    <w:rPr>
                      <w:snapToGrid w:val="0"/>
                      <w:szCs w:val="21"/>
                    </w:rPr>
                  </w:pPr>
                  <w:r>
                    <w:rPr>
                      <w:rFonts w:hint="eastAsia"/>
                      <w:snapToGrid w:val="0"/>
                      <w:szCs w:val="21"/>
                    </w:rPr>
                    <w:t xml:space="preserve"> </w:t>
                  </w:r>
                  <w:r>
                    <w:rPr>
                      <w:snapToGrid w:val="0"/>
                      <w:szCs w:val="21"/>
                    </w:rPr>
                    <w:t>≤</w:t>
                  </w:r>
                  <w:r>
                    <w:rPr>
                      <w:rFonts w:hint="eastAsia"/>
                      <w:snapToGrid w:val="0"/>
                      <w:szCs w:val="21"/>
                      <w:lang w:val="en-US" w:eastAsia="zh-CN"/>
                    </w:rPr>
                    <w:t>1.45</w:t>
                  </w:r>
                  <w:r>
                    <w:rPr>
                      <w:snapToGrid w:val="0"/>
                      <w:szCs w:val="21"/>
                    </w:rPr>
                    <w:t>kg/h</w:t>
                  </w:r>
                </w:p>
                <w:p>
                  <w:pPr>
                    <w:snapToGrid w:val="0"/>
                    <w:rPr>
                      <w:szCs w:val="21"/>
                    </w:rPr>
                  </w:pPr>
                  <w:r>
                    <w:rPr>
                      <w:snapToGrid w:val="0"/>
                      <w:szCs w:val="21"/>
                    </w:rPr>
                    <w:t>无组织：≤2.0mg/m</w:t>
                  </w:r>
                  <w:r>
                    <w:rPr>
                      <w:snapToGrid w:val="0"/>
                      <w:szCs w:val="21"/>
                      <w:vertAlign w:val="superscript"/>
                    </w:rPr>
                    <w:t>3</w:t>
                  </w:r>
                </w:p>
              </w:tc>
              <w:tc>
                <w:tcPr>
                  <w:tcW w:w="2869" w:type="dxa"/>
                  <w:tcBorders>
                    <w:tl2br w:val="nil"/>
                    <w:tr2bl w:val="nil"/>
                  </w:tcBorders>
                  <w:vAlign w:val="center"/>
                </w:tcPr>
                <w:p>
                  <w:pPr>
                    <w:snapToGrid w:val="0"/>
                    <w:jc w:val="center"/>
                    <w:rPr>
                      <w:szCs w:val="21"/>
                    </w:rPr>
                  </w:pPr>
                  <w:r>
                    <w:rPr>
                      <w:szCs w:val="21"/>
                    </w:rPr>
                    <w:t>广东省</w:t>
                  </w:r>
                  <w:r>
                    <w:rPr>
                      <w:rFonts w:hint="eastAsia"/>
                      <w:szCs w:val="21"/>
                    </w:rPr>
                    <w:t>《家具制造行业挥发性有机化合物排放标准》（DB44/814-2010）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29" w:hRule="atLeast"/>
                <w:jc w:val="center"/>
              </w:trPr>
              <w:tc>
                <w:tcPr>
                  <w:tcW w:w="1240" w:type="dxa"/>
                  <w:tcBorders>
                    <w:tl2br w:val="nil"/>
                    <w:tr2bl w:val="nil"/>
                  </w:tcBorders>
                  <w:vAlign w:val="center"/>
                </w:tcPr>
                <w:p>
                  <w:pPr>
                    <w:adjustRightInd w:val="0"/>
                    <w:snapToGrid w:val="0"/>
                    <w:jc w:val="center"/>
                    <w:rPr>
                      <w:szCs w:val="21"/>
                    </w:rPr>
                  </w:pPr>
                  <w:r>
                    <w:rPr>
                      <w:rFonts w:hint="eastAsia"/>
                      <w:szCs w:val="21"/>
                    </w:rPr>
                    <w:t>燃烧废气</w:t>
                  </w:r>
                </w:p>
              </w:tc>
              <w:tc>
                <w:tcPr>
                  <w:tcW w:w="2132" w:type="dxa"/>
                  <w:tcBorders>
                    <w:tl2br w:val="nil"/>
                    <w:tr2bl w:val="nil"/>
                  </w:tcBorders>
                  <w:vAlign w:val="center"/>
                </w:tcPr>
                <w:p>
                  <w:pPr>
                    <w:snapToGrid w:val="0"/>
                    <w:jc w:val="center"/>
                    <w:rPr>
                      <w:szCs w:val="21"/>
                    </w:rPr>
                  </w:pPr>
                  <w:r>
                    <w:rPr>
                      <w:szCs w:val="21"/>
                    </w:rPr>
                    <w:t>通过15m高排气筒排出</w:t>
                  </w:r>
                </w:p>
              </w:tc>
              <w:tc>
                <w:tcPr>
                  <w:tcW w:w="2055" w:type="dxa"/>
                  <w:tcBorders>
                    <w:tl2br w:val="nil"/>
                    <w:tr2bl w:val="nil"/>
                  </w:tcBorders>
                  <w:vAlign w:val="center"/>
                </w:tcPr>
                <w:p>
                  <w:pPr>
                    <w:snapToGrid w:val="0"/>
                    <w:jc w:val="center"/>
                    <w:rPr>
                      <w:snapToGrid w:val="0"/>
                      <w:szCs w:val="21"/>
                      <w:vertAlign w:val="superscript"/>
                    </w:rPr>
                  </w:pPr>
                  <w:r>
                    <w:rPr>
                      <w:snapToGrid w:val="0"/>
                      <w:szCs w:val="21"/>
                    </w:rPr>
                    <w:t>SO</w:t>
                  </w:r>
                  <w:r>
                    <w:rPr>
                      <w:snapToGrid w:val="0"/>
                      <w:szCs w:val="21"/>
                      <w:vertAlign w:val="subscript"/>
                    </w:rPr>
                    <w:t>2</w:t>
                  </w:r>
                  <w:r>
                    <w:rPr>
                      <w:snapToGrid w:val="0"/>
                      <w:szCs w:val="21"/>
                    </w:rPr>
                    <w:t>≤</w:t>
                  </w:r>
                  <w:r>
                    <w:rPr>
                      <w:rFonts w:hint="eastAsia"/>
                      <w:snapToGrid w:val="0"/>
                      <w:szCs w:val="21"/>
                    </w:rPr>
                    <w:t>50</w:t>
                  </w:r>
                  <w:r>
                    <w:rPr>
                      <w:snapToGrid w:val="0"/>
                      <w:szCs w:val="21"/>
                    </w:rPr>
                    <w:t>mg/m</w:t>
                  </w:r>
                  <w:r>
                    <w:rPr>
                      <w:snapToGrid w:val="0"/>
                      <w:szCs w:val="21"/>
                      <w:vertAlign w:val="superscript"/>
                    </w:rPr>
                    <w:t>3</w:t>
                  </w:r>
                  <w:r>
                    <w:rPr>
                      <w:snapToGrid w:val="0"/>
                      <w:szCs w:val="21"/>
                    </w:rPr>
                    <w:t>，NOx≤</w:t>
                  </w:r>
                  <w:r>
                    <w:rPr>
                      <w:rFonts w:hint="eastAsia"/>
                      <w:snapToGrid w:val="0"/>
                      <w:szCs w:val="21"/>
                    </w:rPr>
                    <w:t>15</w:t>
                  </w:r>
                  <w:r>
                    <w:rPr>
                      <w:snapToGrid w:val="0"/>
                      <w:szCs w:val="21"/>
                    </w:rPr>
                    <w:t>0mg/m</w:t>
                  </w:r>
                  <w:r>
                    <w:rPr>
                      <w:snapToGrid w:val="0"/>
                      <w:szCs w:val="21"/>
                      <w:vertAlign w:val="superscript"/>
                    </w:rPr>
                    <w:t>3</w:t>
                  </w:r>
                </w:p>
                <w:p>
                  <w:pPr>
                    <w:snapToGrid w:val="0"/>
                    <w:jc w:val="center"/>
                    <w:rPr>
                      <w:snapToGrid w:val="0"/>
                      <w:szCs w:val="21"/>
                    </w:rPr>
                  </w:pPr>
                  <w:r>
                    <w:rPr>
                      <w:rFonts w:hint="eastAsia"/>
                      <w:snapToGrid w:val="0"/>
                      <w:szCs w:val="21"/>
                    </w:rPr>
                    <w:t>烟尘</w:t>
                  </w:r>
                  <w:r>
                    <w:rPr>
                      <w:snapToGrid w:val="0"/>
                      <w:szCs w:val="21"/>
                    </w:rPr>
                    <w:t>≤</w:t>
                  </w:r>
                  <w:r>
                    <w:rPr>
                      <w:rFonts w:hint="eastAsia"/>
                      <w:snapToGrid w:val="0"/>
                      <w:szCs w:val="21"/>
                    </w:rPr>
                    <w:t>20</w:t>
                  </w:r>
                  <w:r>
                    <w:rPr>
                      <w:snapToGrid w:val="0"/>
                      <w:szCs w:val="21"/>
                    </w:rPr>
                    <w:t>mg/m</w:t>
                  </w:r>
                  <w:r>
                    <w:rPr>
                      <w:snapToGrid w:val="0"/>
                      <w:szCs w:val="21"/>
                      <w:vertAlign w:val="superscript"/>
                    </w:rPr>
                    <w:t>3</w:t>
                  </w:r>
                </w:p>
              </w:tc>
              <w:tc>
                <w:tcPr>
                  <w:tcW w:w="2869" w:type="dxa"/>
                  <w:tcBorders>
                    <w:tl2br w:val="nil"/>
                    <w:tr2bl w:val="nil"/>
                  </w:tcBorders>
                  <w:vAlign w:val="center"/>
                </w:tcPr>
                <w:p>
                  <w:pPr>
                    <w:adjustRightInd w:val="0"/>
                    <w:snapToGrid w:val="0"/>
                    <w:rPr>
                      <w:szCs w:val="21"/>
                    </w:rPr>
                  </w:pPr>
                  <w:r>
                    <w:rPr>
                      <w:rFonts w:hint="eastAsia"/>
                      <w:szCs w:val="21"/>
                    </w:rPr>
                    <w:t>广东省《锅炉大气污染物排放标准》（DB 44/765-2019）中新建燃气锅炉标准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29" w:hRule="atLeast"/>
                <w:jc w:val="center"/>
              </w:trPr>
              <w:tc>
                <w:tcPr>
                  <w:tcW w:w="1240" w:type="dxa"/>
                  <w:tcBorders>
                    <w:tl2br w:val="nil"/>
                    <w:tr2bl w:val="nil"/>
                  </w:tcBorders>
                  <w:vAlign w:val="center"/>
                </w:tcPr>
                <w:p>
                  <w:pPr>
                    <w:adjustRightInd w:val="0"/>
                    <w:snapToGrid w:val="0"/>
                    <w:jc w:val="center"/>
                    <w:rPr>
                      <w:szCs w:val="21"/>
                    </w:rPr>
                  </w:pPr>
                  <w:r>
                    <w:rPr>
                      <w:rFonts w:hint="eastAsia"/>
                      <w:szCs w:val="21"/>
                    </w:rPr>
                    <w:t>喷粉粉尘</w:t>
                  </w:r>
                </w:p>
              </w:tc>
              <w:tc>
                <w:tcPr>
                  <w:tcW w:w="2132" w:type="dxa"/>
                  <w:tcBorders>
                    <w:tl2br w:val="nil"/>
                    <w:tr2bl w:val="nil"/>
                  </w:tcBorders>
                  <w:vAlign w:val="center"/>
                </w:tcPr>
                <w:p>
                  <w:pPr>
                    <w:snapToGrid w:val="0"/>
                    <w:jc w:val="center"/>
                    <w:rPr>
                      <w:szCs w:val="21"/>
                    </w:rPr>
                  </w:pPr>
                  <w:r>
                    <w:rPr>
                      <w:rFonts w:hint="eastAsia"/>
                      <w:szCs w:val="21"/>
                    </w:rPr>
                    <w:t>高密度滤芯过+脉冲反吹清灰</w:t>
                  </w:r>
                  <w:r>
                    <w:rPr>
                      <w:szCs w:val="21"/>
                    </w:rPr>
                    <w:t>净化处理；加强车间的机械通风</w:t>
                  </w:r>
                  <w:r>
                    <w:rPr>
                      <w:rFonts w:hint="eastAsia"/>
                      <w:szCs w:val="21"/>
                    </w:rPr>
                    <w:t xml:space="preserve"> </w:t>
                  </w:r>
                </w:p>
              </w:tc>
              <w:tc>
                <w:tcPr>
                  <w:tcW w:w="2055" w:type="dxa"/>
                  <w:tcBorders>
                    <w:tl2br w:val="nil"/>
                    <w:tr2bl w:val="nil"/>
                  </w:tcBorders>
                  <w:vAlign w:val="center"/>
                </w:tcPr>
                <w:p>
                  <w:pPr>
                    <w:snapToGrid w:val="0"/>
                    <w:ind w:left="840" w:hanging="840" w:hangingChars="400"/>
                    <w:rPr>
                      <w:snapToGrid w:val="0"/>
                      <w:szCs w:val="21"/>
                      <w:vertAlign w:val="superscript"/>
                    </w:rPr>
                  </w:pPr>
                  <w:r>
                    <w:rPr>
                      <w:snapToGrid w:val="0"/>
                      <w:szCs w:val="21"/>
                    </w:rPr>
                    <w:t>有组织：≤120mg/m</w:t>
                  </w:r>
                  <w:r>
                    <w:rPr>
                      <w:snapToGrid w:val="0"/>
                      <w:szCs w:val="21"/>
                      <w:vertAlign w:val="superscript"/>
                    </w:rPr>
                    <w:t>3</w:t>
                  </w:r>
                </w:p>
                <w:p>
                  <w:pPr>
                    <w:snapToGrid w:val="0"/>
                    <w:ind w:left="840" w:hanging="840" w:hangingChars="400"/>
                    <w:rPr>
                      <w:snapToGrid w:val="0"/>
                      <w:szCs w:val="21"/>
                    </w:rPr>
                  </w:pPr>
                  <w:r>
                    <w:rPr>
                      <w:rFonts w:hint="eastAsia"/>
                      <w:snapToGrid w:val="0"/>
                      <w:szCs w:val="21"/>
                    </w:rPr>
                    <w:t xml:space="preserve">        </w:t>
                  </w:r>
                  <w:r>
                    <w:rPr>
                      <w:snapToGrid w:val="0"/>
                      <w:szCs w:val="21"/>
                    </w:rPr>
                    <w:t>≤</w:t>
                  </w:r>
                  <w:r>
                    <w:rPr>
                      <w:rFonts w:hint="eastAsia"/>
                      <w:snapToGrid w:val="0"/>
                      <w:szCs w:val="21"/>
                      <w:lang w:val="en-US" w:eastAsia="zh-CN"/>
                    </w:rPr>
                    <w:t>1.45</w:t>
                  </w:r>
                  <w:r>
                    <w:rPr>
                      <w:snapToGrid w:val="0"/>
                      <w:szCs w:val="21"/>
                    </w:rPr>
                    <w:t>kg/h</w:t>
                  </w:r>
                </w:p>
                <w:p>
                  <w:pPr>
                    <w:snapToGrid w:val="0"/>
                    <w:jc w:val="center"/>
                    <w:rPr>
                      <w:snapToGrid w:val="0"/>
                      <w:szCs w:val="21"/>
                    </w:rPr>
                  </w:pPr>
                  <w:r>
                    <w:rPr>
                      <w:snapToGrid w:val="0"/>
                      <w:szCs w:val="21"/>
                    </w:rPr>
                    <w:t>无组织：≤1.0mg/m</w:t>
                  </w:r>
                  <w:r>
                    <w:rPr>
                      <w:snapToGrid w:val="0"/>
                      <w:szCs w:val="21"/>
                      <w:vertAlign w:val="superscript"/>
                    </w:rPr>
                    <w:t>3</w:t>
                  </w:r>
                </w:p>
              </w:tc>
              <w:tc>
                <w:tcPr>
                  <w:tcW w:w="2869" w:type="dxa"/>
                  <w:tcBorders>
                    <w:tl2br w:val="nil"/>
                    <w:tr2bl w:val="nil"/>
                  </w:tcBorders>
                  <w:vAlign w:val="center"/>
                </w:tcPr>
                <w:p>
                  <w:pPr>
                    <w:snapToGrid w:val="0"/>
                    <w:jc w:val="center"/>
                    <w:rPr>
                      <w:szCs w:val="21"/>
                    </w:rPr>
                  </w:pPr>
                  <w:r>
                    <w:rPr>
                      <w:szCs w:val="21"/>
                    </w:rPr>
                    <w:t>广东省《大气污染物排放限值》（DB44/27-2001）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83" w:hRule="atLeast"/>
                <w:jc w:val="center"/>
              </w:trPr>
              <w:tc>
                <w:tcPr>
                  <w:tcW w:w="1240" w:type="dxa"/>
                  <w:tcBorders>
                    <w:tl2br w:val="nil"/>
                    <w:tr2bl w:val="nil"/>
                  </w:tcBorders>
                  <w:vAlign w:val="center"/>
                </w:tcPr>
                <w:p>
                  <w:pPr>
                    <w:snapToGrid w:val="0"/>
                    <w:jc w:val="center"/>
                    <w:rPr>
                      <w:szCs w:val="21"/>
                    </w:rPr>
                  </w:pPr>
                  <w:r>
                    <w:rPr>
                      <w:rFonts w:hint="eastAsia"/>
                      <w:szCs w:val="21"/>
                    </w:rPr>
                    <w:t>生活污水</w:t>
                  </w:r>
                </w:p>
              </w:tc>
              <w:tc>
                <w:tcPr>
                  <w:tcW w:w="2132" w:type="dxa"/>
                  <w:tcBorders>
                    <w:tl2br w:val="nil"/>
                    <w:tr2bl w:val="nil"/>
                  </w:tcBorders>
                  <w:vAlign w:val="center"/>
                </w:tcPr>
                <w:p>
                  <w:pPr>
                    <w:snapToGrid w:val="0"/>
                    <w:jc w:val="center"/>
                    <w:rPr>
                      <w:szCs w:val="21"/>
                    </w:rPr>
                  </w:pPr>
                  <w:r>
                    <w:rPr>
                      <w:szCs w:val="21"/>
                    </w:rPr>
                    <w:t>三级化粪池</w:t>
                  </w:r>
                </w:p>
              </w:tc>
              <w:tc>
                <w:tcPr>
                  <w:tcW w:w="2055" w:type="dxa"/>
                  <w:tcBorders>
                    <w:tl2br w:val="nil"/>
                    <w:tr2bl w:val="nil"/>
                  </w:tcBorders>
                  <w:vAlign w:val="center"/>
                </w:tcPr>
                <w:p>
                  <w:pPr>
                    <w:snapToGrid w:val="0"/>
                    <w:jc w:val="center"/>
                    <w:rPr>
                      <w:szCs w:val="21"/>
                    </w:rPr>
                  </w:pPr>
                  <w:r>
                    <w:rPr>
                      <w:szCs w:val="21"/>
                    </w:rPr>
                    <w:t>达到广东省《水污染物排放限值》(DB44/26-2001)三级标准(第二时段)</w:t>
                  </w:r>
                </w:p>
              </w:tc>
              <w:tc>
                <w:tcPr>
                  <w:tcW w:w="2869" w:type="dxa"/>
                  <w:tcBorders>
                    <w:tl2br w:val="nil"/>
                    <w:tr2bl w:val="nil"/>
                  </w:tcBorders>
                  <w:vAlign w:val="center"/>
                </w:tcPr>
                <w:p>
                  <w:pPr>
                    <w:snapToGrid w:val="0"/>
                    <w:jc w:val="center"/>
                    <w:rPr>
                      <w:szCs w:val="21"/>
                    </w:rPr>
                  </w:pPr>
                  <w:r>
                    <w:rPr>
                      <w:szCs w:val="21"/>
                    </w:rPr>
                    <w:t>达到广东省《水污染物排放限值》(DB44/26-2001)中的三级标准(第二时段)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5" w:hRule="atLeast"/>
                <w:jc w:val="center"/>
              </w:trPr>
              <w:tc>
                <w:tcPr>
                  <w:tcW w:w="1240" w:type="dxa"/>
                  <w:tcBorders>
                    <w:tl2br w:val="nil"/>
                    <w:tr2bl w:val="nil"/>
                  </w:tcBorders>
                  <w:vAlign w:val="center"/>
                </w:tcPr>
                <w:p>
                  <w:pPr>
                    <w:snapToGrid w:val="0"/>
                    <w:jc w:val="center"/>
                    <w:rPr>
                      <w:szCs w:val="21"/>
                    </w:rPr>
                  </w:pPr>
                  <w:r>
                    <w:rPr>
                      <w:szCs w:val="21"/>
                    </w:rPr>
                    <w:t>设备噪声</w:t>
                  </w:r>
                </w:p>
              </w:tc>
              <w:tc>
                <w:tcPr>
                  <w:tcW w:w="2132" w:type="dxa"/>
                  <w:tcBorders>
                    <w:tl2br w:val="nil"/>
                    <w:tr2bl w:val="nil"/>
                  </w:tcBorders>
                  <w:vAlign w:val="center"/>
                </w:tcPr>
                <w:p>
                  <w:pPr>
                    <w:snapToGrid w:val="0"/>
                    <w:jc w:val="center"/>
                    <w:rPr>
                      <w:szCs w:val="21"/>
                    </w:rPr>
                  </w:pPr>
                  <w:r>
                    <w:rPr>
                      <w:szCs w:val="21"/>
                    </w:rPr>
                    <w:t>采取优化布局、高噪声设备合理布置、消声、减震等措施</w:t>
                  </w:r>
                </w:p>
              </w:tc>
              <w:tc>
                <w:tcPr>
                  <w:tcW w:w="2055" w:type="dxa"/>
                  <w:tcBorders>
                    <w:tl2br w:val="nil"/>
                    <w:tr2bl w:val="nil"/>
                  </w:tcBorders>
                  <w:vAlign w:val="center"/>
                </w:tcPr>
                <w:p>
                  <w:pPr>
                    <w:adjustRightInd w:val="0"/>
                    <w:snapToGrid w:val="0"/>
                    <w:jc w:val="center"/>
                    <w:rPr>
                      <w:szCs w:val="21"/>
                    </w:rPr>
                  </w:pPr>
                  <w:r>
                    <w:rPr>
                      <w:szCs w:val="21"/>
                    </w:rPr>
                    <w:t>2类</w:t>
                  </w:r>
                </w:p>
                <w:p>
                  <w:pPr>
                    <w:adjustRightInd w:val="0"/>
                    <w:snapToGrid w:val="0"/>
                    <w:jc w:val="center"/>
                  </w:pPr>
                  <w:r>
                    <w:rPr>
                      <w:szCs w:val="21"/>
                    </w:rPr>
                    <w:t>昼间≤60dB(A)</w:t>
                  </w:r>
                </w:p>
                <w:p>
                  <w:pPr>
                    <w:adjustRightInd w:val="0"/>
                    <w:snapToGrid w:val="0"/>
                    <w:jc w:val="center"/>
                    <w:rPr>
                      <w:szCs w:val="21"/>
                    </w:rPr>
                  </w:pPr>
                  <w:r>
                    <w:rPr>
                      <w:szCs w:val="21"/>
                    </w:rPr>
                    <w:t>夜间≤50dB(A)</w:t>
                  </w:r>
                </w:p>
              </w:tc>
              <w:tc>
                <w:tcPr>
                  <w:tcW w:w="2869" w:type="dxa"/>
                  <w:tcBorders>
                    <w:tl2br w:val="nil"/>
                    <w:tr2bl w:val="nil"/>
                  </w:tcBorders>
                  <w:vAlign w:val="center"/>
                </w:tcPr>
                <w:p>
                  <w:pPr>
                    <w:snapToGrid w:val="0"/>
                    <w:jc w:val="center"/>
                    <w:rPr>
                      <w:szCs w:val="21"/>
                    </w:rPr>
                  </w:pPr>
                  <w:r>
                    <w:rPr>
                      <w:szCs w:val="21"/>
                    </w:rPr>
                    <w:t>厂界噪声值达到《工业企业厂界环境噪声排放标准》（GB12348-2008）中规定的厂界外</w:t>
                  </w:r>
                  <w:r>
                    <w:rPr>
                      <w:rFonts w:hint="eastAsia"/>
                      <w:szCs w:val="21"/>
                    </w:rPr>
                    <w:t>2</w:t>
                  </w:r>
                  <w:r>
                    <w:rPr>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1" w:hRule="atLeast"/>
                <w:jc w:val="center"/>
              </w:trPr>
              <w:tc>
                <w:tcPr>
                  <w:tcW w:w="1240" w:type="dxa"/>
                  <w:tcBorders>
                    <w:tl2br w:val="nil"/>
                    <w:tr2bl w:val="nil"/>
                  </w:tcBorders>
                  <w:vAlign w:val="center"/>
                </w:tcPr>
                <w:p>
                  <w:pPr>
                    <w:snapToGrid w:val="0"/>
                    <w:jc w:val="center"/>
                    <w:rPr>
                      <w:szCs w:val="21"/>
                    </w:rPr>
                  </w:pPr>
                  <w:r>
                    <w:rPr>
                      <w:szCs w:val="21"/>
                    </w:rPr>
                    <w:t>生活垃圾</w:t>
                  </w:r>
                </w:p>
              </w:tc>
              <w:tc>
                <w:tcPr>
                  <w:tcW w:w="2132" w:type="dxa"/>
                  <w:tcBorders>
                    <w:tl2br w:val="nil"/>
                    <w:tr2bl w:val="nil"/>
                  </w:tcBorders>
                  <w:vAlign w:val="center"/>
                </w:tcPr>
                <w:p>
                  <w:pPr>
                    <w:snapToGrid w:val="0"/>
                    <w:jc w:val="center"/>
                    <w:rPr>
                      <w:szCs w:val="21"/>
                    </w:rPr>
                  </w:pPr>
                  <w:r>
                    <w:rPr>
                      <w:szCs w:val="21"/>
                    </w:rPr>
                    <w:t>收集后由环卫部门统一清运</w:t>
                  </w:r>
                </w:p>
              </w:tc>
              <w:tc>
                <w:tcPr>
                  <w:tcW w:w="2055" w:type="dxa"/>
                  <w:vMerge w:val="restart"/>
                  <w:tcBorders>
                    <w:tl2br w:val="nil"/>
                    <w:tr2bl w:val="nil"/>
                  </w:tcBorders>
                  <w:vAlign w:val="center"/>
                </w:tcPr>
                <w:p>
                  <w:pPr>
                    <w:snapToGrid w:val="0"/>
                    <w:jc w:val="center"/>
                    <w:rPr>
                      <w:szCs w:val="21"/>
                    </w:rPr>
                  </w:pPr>
                  <w:r>
                    <w:rPr>
                      <w:szCs w:val="21"/>
                    </w:rPr>
                    <w:t>无排放</w:t>
                  </w:r>
                </w:p>
              </w:tc>
              <w:tc>
                <w:tcPr>
                  <w:tcW w:w="2869" w:type="dxa"/>
                  <w:vMerge w:val="restart"/>
                  <w:tcBorders>
                    <w:tl2br w:val="nil"/>
                    <w:tr2bl w:val="nil"/>
                  </w:tcBorders>
                  <w:vAlign w:val="center"/>
                </w:tcPr>
                <w:p>
                  <w:pPr>
                    <w:snapToGrid w:val="0"/>
                    <w:jc w:val="center"/>
                    <w:rPr>
                      <w:szCs w:val="21"/>
                    </w:rPr>
                  </w:pPr>
                  <w:r>
                    <w:rPr>
                      <w:szCs w:val="21"/>
                    </w:rPr>
                    <w:t>一般工业固体废物执行《一般工业固体废物贮存、处置场污染控制标准》（GB18599-2001）及2013年修改单要求；危险废物执行《危险废物贮存污染控制标准》（GB18597-2001）及2013年修改单要求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043" w:hRule="atLeast"/>
                <w:jc w:val="center"/>
              </w:trPr>
              <w:tc>
                <w:tcPr>
                  <w:tcW w:w="1240" w:type="dxa"/>
                  <w:tcBorders>
                    <w:tl2br w:val="nil"/>
                    <w:tr2bl w:val="nil"/>
                  </w:tcBorders>
                  <w:vAlign w:val="center"/>
                </w:tcPr>
                <w:p>
                  <w:pPr>
                    <w:snapToGrid w:val="0"/>
                    <w:jc w:val="center"/>
                    <w:rPr>
                      <w:szCs w:val="21"/>
                    </w:rPr>
                  </w:pPr>
                  <w:r>
                    <w:rPr>
                      <w:szCs w:val="21"/>
                    </w:rPr>
                    <w:t>包装废物、原料空桶</w:t>
                  </w:r>
                </w:p>
              </w:tc>
              <w:tc>
                <w:tcPr>
                  <w:tcW w:w="2132" w:type="dxa"/>
                  <w:tcBorders>
                    <w:tl2br w:val="nil"/>
                    <w:tr2bl w:val="nil"/>
                  </w:tcBorders>
                  <w:vAlign w:val="center"/>
                </w:tcPr>
                <w:p>
                  <w:pPr>
                    <w:snapToGrid w:val="0"/>
                    <w:jc w:val="center"/>
                    <w:rPr>
                      <w:szCs w:val="21"/>
                      <w:lang w:val="zh-CN"/>
                    </w:rPr>
                  </w:pPr>
                  <w:r>
                    <w:rPr>
                      <w:szCs w:val="21"/>
                    </w:rPr>
                    <w:t>包装废物外卖回收公司回收处理；原料空桶</w:t>
                  </w:r>
                  <w:r>
                    <w:rPr>
                      <w:rFonts w:hint="eastAsia"/>
                      <w:szCs w:val="21"/>
                    </w:rPr>
                    <w:t>不属于固体废物，</w:t>
                  </w:r>
                  <w:r>
                    <w:rPr>
                      <w:szCs w:val="21"/>
                    </w:rPr>
                    <w:t>交由厂家回收再利用</w:t>
                  </w:r>
                </w:p>
              </w:tc>
              <w:tc>
                <w:tcPr>
                  <w:tcW w:w="2055" w:type="dxa"/>
                  <w:vMerge w:val="continue"/>
                  <w:tcBorders>
                    <w:tl2br w:val="nil"/>
                    <w:tr2bl w:val="nil"/>
                  </w:tcBorders>
                </w:tcPr>
                <w:p>
                  <w:pPr>
                    <w:snapToGrid w:val="0"/>
                    <w:jc w:val="center"/>
                    <w:rPr>
                      <w:szCs w:val="21"/>
                    </w:rPr>
                  </w:pPr>
                </w:p>
              </w:tc>
              <w:tc>
                <w:tcPr>
                  <w:tcW w:w="2869" w:type="dxa"/>
                  <w:vMerge w:val="continue"/>
                  <w:tcBorders>
                    <w:tl2br w:val="nil"/>
                    <w:tr2bl w:val="nil"/>
                  </w:tcBorders>
                  <w:vAlign w:val="center"/>
                </w:tcPr>
                <w:p>
                  <w:pPr>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3" w:hRule="atLeast"/>
                <w:jc w:val="center"/>
              </w:trPr>
              <w:tc>
                <w:tcPr>
                  <w:tcW w:w="1240" w:type="dxa"/>
                  <w:tcBorders>
                    <w:tl2br w:val="nil"/>
                    <w:tr2bl w:val="nil"/>
                  </w:tcBorders>
                  <w:vAlign w:val="center"/>
                </w:tcPr>
                <w:p>
                  <w:pPr>
                    <w:snapToGrid w:val="0"/>
                    <w:jc w:val="center"/>
                    <w:rPr>
                      <w:szCs w:val="21"/>
                    </w:rPr>
                  </w:pPr>
                  <w:r>
                    <w:rPr>
                      <w:rFonts w:hint="eastAsia"/>
                      <w:bCs/>
                      <w:szCs w:val="21"/>
                    </w:rPr>
                    <w:t>废UV灯管</w:t>
                  </w:r>
                </w:p>
              </w:tc>
              <w:tc>
                <w:tcPr>
                  <w:tcW w:w="2132" w:type="dxa"/>
                  <w:vMerge w:val="restart"/>
                  <w:tcBorders>
                    <w:tl2br w:val="nil"/>
                    <w:tr2bl w:val="nil"/>
                  </w:tcBorders>
                  <w:vAlign w:val="center"/>
                </w:tcPr>
                <w:p>
                  <w:pPr>
                    <w:snapToGrid w:val="0"/>
                    <w:jc w:val="center"/>
                    <w:rPr>
                      <w:szCs w:val="21"/>
                    </w:rPr>
                  </w:pPr>
                  <w:r>
                    <w:rPr>
                      <w:rFonts w:hint="eastAsia"/>
                      <w:szCs w:val="21"/>
                    </w:rPr>
                    <w:t>交由危险废物处理公司处理</w:t>
                  </w:r>
                </w:p>
              </w:tc>
              <w:tc>
                <w:tcPr>
                  <w:tcW w:w="2055" w:type="dxa"/>
                  <w:vMerge w:val="continue"/>
                  <w:tcBorders>
                    <w:tl2br w:val="nil"/>
                    <w:tr2bl w:val="nil"/>
                  </w:tcBorders>
                </w:tcPr>
                <w:p>
                  <w:pPr>
                    <w:snapToGrid w:val="0"/>
                    <w:jc w:val="center"/>
                    <w:rPr>
                      <w:szCs w:val="21"/>
                    </w:rPr>
                  </w:pPr>
                </w:p>
              </w:tc>
              <w:tc>
                <w:tcPr>
                  <w:tcW w:w="2869" w:type="dxa"/>
                  <w:vMerge w:val="continue"/>
                  <w:tcBorders>
                    <w:tl2br w:val="nil"/>
                    <w:tr2bl w:val="nil"/>
                  </w:tcBorders>
                  <w:vAlign w:val="center"/>
                </w:tcPr>
                <w:p>
                  <w:pPr>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75" w:hRule="atLeast"/>
                <w:jc w:val="center"/>
              </w:trPr>
              <w:tc>
                <w:tcPr>
                  <w:tcW w:w="1240" w:type="dxa"/>
                  <w:tcBorders>
                    <w:tl2br w:val="nil"/>
                    <w:tr2bl w:val="nil"/>
                  </w:tcBorders>
                  <w:vAlign w:val="center"/>
                </w:tcPr>
                <w:p>
                  <w:pPr>
                    <w:snapToGrid w:val="0"/>
                    <w:jc w:val="center"/>
                    <w:rPr>
                      <w:szCs w:val="21"/>
                    </w:rPr>
                  </w:pPr>
                  <w:r>
                    <w:rPr>
                      <w:szCs w:val="21"/>
                    </w:rPr>
                    <w:t>废活性炭</w:t>
                  </w:r>
                </w:p>
              </w:tc>
              <w:tc>
                <w:tcPr>
                  <w:tcW w:w="2132" w:type="dxa"/>
                  <w:vMerge w:val="continue"/>
                  <w:tcBorders>
                    <w:tl2br w:val="nil"/>
                    <w:tr2bl w:val="nil"/>
                  </w:tcBorders>
                  <w:vAlign w:val="center"/>
                </w:tcPr>
                <w:p>
                  <w:pPr>
                    <w:snapToGrid w:val="0"/>
                    <w:rPr>
                      <w:szCs w:val="21"/>
                      <w:lang w:val="zh-CN"/>
                    </w:rPr>
                  </w:pPr>
                </w:p>
              </w:tc>
              <w:tc>
                <w:tcPr>
                  <w:tcW w:w="2055" w:type="dxa"/>
                  <w:vMerge w:val="continue"/>
                  <w:tcBorders>
                    <w:tl2br w:val="nil"/>
                    <w:tr2bl w:val="nil"/>
                  </w:tcBorders>
                </w:tcPr>
                <w:p>
                  <w:pPr>
                    <w:snapToGrid w:val="0"/>
                    <w:jc w:val="center"/>
                    <w:rPr>
                      <w:szCs w:val="21"/>
                    </w:rPr>
                  </w:pPr>
                </w:p>
              </w:tc>
              <w:tc>
                <w:tcPr>
                  <w:tcW w:w="2869" w:type="dxa"/>
                  <w:vMerge w:val="continue"/>
                  <w:tcBorders>
                    <w:tl2br w:val="nil"/>
                    <w:tr2bl w:val="nil"/>
                  </w:tcBorders>
                  <w:vAlign w:val="center"/>
                </w:tcPr>
                <w:p>
                  <w:pPr>
                    <w:snapToGrid w:val="0"/>
                    <w:jc w:val="center"/>
                    <w:rPr>
                      <w:szCs w:val="21"/>
                    </w:rPr>
                  </w:pPr>
                </w:p>
              </w:tc>
            </w:tr>
          </w:tbl>
          <w:p>
            <w:pPr>
              <w:autoSpaceDE w:val="0"/>
              <w:autoSpaceDN w:val="0"/>
              <w:adjustRightInd w:val="0"/>
              <w:spacing w:line="360" w:lineRule="auto"/>
              <w:ind w:firstLine="480" w:firstLineChars="200"/>
              <w:rPr>
                <w:sz w:val="24"/>
              </w:rPr>
            </w:pPr>
            <w:r>
              <w:rPr>
                <w:rFonts w:hint="eastAsia"/>
                <w:sz w:val="24"/>
              </w:rPr>
              <w:t>项目设有</w:t>
            </w:r>
            <w:r>
              <w:rPr>
                <w:rFonts w:hint="eastAsia"/>
                <w:sz w:val="24"/>
                <w:lang w:val="en-US" w:eastAsia="zh-CN"/>
              </w:rPr>
              <w:t>两</w:t>
            </w:r>
            <w:r>
              <w:rPr>
                <w:rFonts w:hint="eastAsia"/>
                <w:sz w:val="24"/>
              </w:rPr>
              <w:t>个排气口，排放废气均不同。</w:t>
            </w:r>
          </w:p>
          <w:p>
            <w:pPr>
              <w:autoSpaceDE w:val="0"/>
              <w:autoSpaceDN w:val="0"/>
              <w:adjustRightInd w:val="0"/>
              <w:spacing w:line="360" w:lineRule="auto"/>
              <w:ind w:firstLine="480" w:firstLineChars="200"/>
              <w:rPr>
                <w:sz w:val="24"/>
              </w:rPr>
            </w:pPr>
            <w:r>
              <w:rPr>
                <w:sz w:val="24"/>
              </w:rPr>
              <w:t>建设单位应严格按照国家“三同时”政策及时做好有关工作，保证环保工程与主体工程同时设计、同时施工、同时投入使用，切实履行本评价所提出的各项污染防治对策与建议，保证做到各污染物达标排放。</w:t>
            </w:r>
          </w:p>
          <w:p>
            <w:pPr>
              <w:pStyle w:val="25"/>
              <w:rPr>
                <w:b/>
                <w:szCs w:val="21"/>
              </w:rPr>
            </w:pPr>
            <w:r>
              <w:rPr>
                <w:rFonts w:hint="eastAsia"/>
                <w:b/>
                <w:szCs w:val="21"/>
              </w:rPr>
              <w:t>表7-</w:t>
            </w:r>
            <w:r>
              <w:rPr>
                <w:rFonts w:hint="eastAsia"/>
                <w:b/>
                <w:szCs w:val="21"/>
                <w:lang w:val="en-US" w:eastAsia="zh-CN"/>
              </w:rPr>
              <w:t>25</w:t>
            </w:r>
            <w:r>
              <w:rPr>
                <w:rFonts w:hint="eastAsia"/>
                <w:b/>
                <w:szCs w:val="21"/>
              </w:rPr>
              <w:t xml:space="preserve">  污染物排放清单</w:t>
            </w:r>
          </w:p>
          <w:tbl>
            <w:tblPr>
              <w:tblStyle w:val="16"/>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
              <w:gridCol w:w="675"/>
              <w:gridCol w:w="915"/>
              <w:gridCol w:w="1305"/>
              <w:gridCol w:w="570"/>
              <w:gridCol w:w="672"/>
              <w:gridCol w:w="870"/>
              <w:gridCol w:w="2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序号</w:t>
                  </w:r>
                </w:p>
              </w:tc>
              <w:tc>
                <w:tcPr>
                  <w:tcW w:w="1590" w:type="dxa"/>
                  <w:gridSpan w:val="2"/>
                  <w:vAlign w:val="center"/>
                </w:tcPr>
                <w:p>
                  <w:pPr>
                    <w:pStyle w:val="26"/>
                    <w:ind w:firstLine="0" w:firstLineChars="0"/>
                    <w:rPr>
                      <w:szCs w:val="21"/>
                    </w:rPr>
                  </w:pPr>
                  <w:r>
                    <w:rPr>
                      <w:rFonts w:hint="eastAsia"/>
                      <w:szCs w:val="21"/>
                    </w:rPr>
                    <w:t>项目类别</w:t>
                  </w:r>
                </w:p>
              </w:tc>
              <w:tc>
                <w:tcPr>
                  <w:tcW w:w="1305" w:type="dxa"/>
                  <w:vAlign w:val="center"/>
                </w:tcPr>
                <w:p>
                  <w:pPr>
                    <w:pStyle w:val="26"/>
                    <w:ind w:firstLine="0" w:firstLineChars="0"/>
                    <w:rPr>
                      <w:szCs w:val="21"/>
                    </w:rPr>
                  </w:pPr>
                  <w:r>
                    <w:rPr>
                      <w:rFonts w:hint="eastAsia"/>
                      <w:szCs w:val="21"/>
                    </w:rPr>
                    <w:t>环保设施</w:t>
                  </w:r>
                </w:p>
              </w:tc>
              <w:tc>
                <w:tcPr>
                  <w:tcW w:w="570" w:type="dxa"/>
                  <w:vAlign w:val="center"/>
                </w:tcPr>
                <w:p>
                  <w:pPr>
                    <w:pStyle w:val="26"/>
                    <w:ind w:firstLine="0" w:firstLineChars="0"/>
                    <w:rPr>
                      <w:szCs w:val="21"/>
                    </w:rPr>
                  </w:pPr>
                  <w:r>
                    <w:rPr>
                      <w:rFonts w:hint="eastAsia"/>
                      <w:szCs w:val="21"/>
                    </w:rPr>
                    <w:t>数量</w:t>
                  </w:r>
                </w:p>
              </w:tc>
              <w:tc>
                <w:tcPr>
                  <w:tcW w:w="672" w:type="dxa"/>
                  <w:vAlign w:val="center"/>
                </w:tcPr>
                <w:p>
                  <w:pPr>
                    <w:pStyle w:val="26"/>
                    <w:ind w:firstLine="0" w:firstLineChars="0"/>
                    <w:rPr>
                      <w:szCs w:val="21"/>
                    </w:rPr>
                  </w:pPr>
                  <w:r>
                    <w:rPr>
                      <w:rFonts w:hint="eastAsia"/>
                      <w:szCs w:val="21"/>
                    </w:rPr>
                    <w:t>规模</w:t>
                  </w:r>
                </w:p>
              </w:tc>
              <w:tc>
                <w:tcPr>
                  <w:tcW w:w="870" w:type="dxa"/>
                  <w:vAlign w:val="center"/>
                </w:tcPr>
                <w:p>
                  <w:pPr>
                    <w:pStyle w:val="26"/>
                    <w:ind w:firstLine="0" w:firstLineChars="0"/>
                    <w:rPr>
                      <w:szCs w:val="21"/>
                    </w:rPr>
                  </w:pPr>
                  <w:r>
                    <w:rPr>
                      <w:rFonts w:hint="eastAsia"/>
                      <w:szCs w:val="21"/>
                    </w:rPr>
                    <w:t>处理效果</w:t>
                  </w:r>
                </w:p>
              </w:tc>
              <w:tc>
                <w:tcPr>
                  <w:tcW w:w="2827" w:type="dxa"/>
                  <w:vAlign w:val="center"/>
                </w:tcPr>
                <w:p>
                  <w:pPr>
                    <w:pStyle w:val="26"/>
                    <w:ind w:firstLine="0" w:firstLineChars="0"/>
                    <w:rPr>
                      <w:szCs w:val="21"/>
                    </w:rPr>
                  </w:pPr>
                  <w:r>
                    <w:rPr>
                      <w:rFonts w:hint="eastAsia"/>
                      <w:szCs w:val="21"/>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1</w:t>
                  </w:r>
                </w:p>
              </w:tc>
              <w:tc>
                <w:tcPr>
                  <w:tcW w:w="675" w:type="dxa"/>
                  <w:vAlign w:val="center"/>
                </w:tcPr>
                <w:p>
                  <w:pPr>
                    <w:pStyle w:val="26"/>
                    <w:ind w:firstLine="0" w:firstLineChars="0"/>
                    <w:rPr>
                      <w:szCs w:val="21"/>
                    </w:rPr>
                  </w:pPr>
                  <w:r>
                    <w:rPr>
                      <w:rFonts w:hint="eastAsia"/>
                      <w:szCs w:val="21"/>
                    </w:rPr>
                    <w:t>废水</w:t>
                  </w:r>
                </w:p>
              </w:tc>
              <w:tc>
                <w:tcPr>
                  <w:tcW w:w="915" w:type="dxa"/>
                  <w:vAlign w:val="center"/>
                </w:tcPr>
                <w:p>
                  <w:pPr>
                    <w:pStyle w:val="26"/>
                    <w:ind w:firstLine="0" w:firstLineChars="0"/>
                    <w:rPr>
                      <w:szCs w:val="21"/>
                    </w:rPr>
                  </w:pPr>
                  <w:r>
                    <w:rPr>
                      <w:rFonts w:hint="eastAsia"/>
                      <w:szCs w:val="21"/>
                    </w:rPr>
                    <w:t>生活污水</w:t>
                  </w:r>
                </w:p>
              </w:tc>
              <w:tc>
                <w:tcPr>
                  <w:tcW w:w="1305" w:type="dxa"/>
                  <w:vAlign w:val="center"/>
                </w:tcPr>
                <w:p>
                  <w:pPr>
                    <w:pStyle w:val="26"/>
                    <w:ind w:firstLine="0" w:firstLineChars="0"/>
                    <w:rPr>
                      <w:szCs w:val="21"/>
                    </w:rPr>
                  </w:pPr>
                  <w:r>
                    <w:rPr>
                      <w:rFonts w:hint="eastAsia"/>
                      <w:szCs w:val="21"/>
                    </w:rPr>
                    <w:t>三级化粪池处理</w:t>
                  </w:r>
                </w:p>
              </w:tc>
              <w:tc>
                <w:tcPr>
                  <w:tcW w:w="570" w:type="dxa"/>
                  <w:vAlign w:val="center"/>
                </w:tcPr>
                <w:p>
                  <w:pPr>
                    <w:pStyle w:val="26"/>
                    <w:ind w:firstLine="0" w:firstLineChars="0"/>
                    <w:rPr>
                      <w:szCs w:val="21"/>
                    </w:rPr>
                  </w:pPr>
                  <w:r>
                    <w:rPr>
                      <w:rFonts w:hint="eastAsia"/>
                      <w:szCs w:val="21"/>
                    </w:rPr>
                    <w:t>1套</w:t>
                  </w:r>
                </w:p>
              </w:tc>
              <w:tc>
                <w:tcPr>
                  <w:tcW w:w="672" w:type="dxa"/>
                  <w:vAlign w:val="center"/>
                </w:tcPr>
                <w:p>
                  <w:pPr>
                    <w:pStyle w:val="26"/>
                    <w:ind w:firstLine="0" w:firstLineChars="0"/>
                    <w:rPr>
                      <w:szCs w:val="21"/>
                    </w:rPr>
                  </w:pPr>
                  <w:r>
                    <w:rPr>
                      <w:rFonts w:hint="eastAsia"/>
                      <w:szCs w:val="21"/>
                    </w:rPr>
                    <w:t>2700</w:t>
                  </w:r>
                </w:p>
                <w:p>
                  <w:pPr>
                    <w:pStyle w:val="26"/>
                    <w:ind w:firstLine="0" w:firstLineChars="0"/>
                    <w:rPr>
                      <w:szCs w:val="21"/>
                    </w:rPr>
                  </w:pPr>
                  <w:r>
                    <w:rPr>
                      <w:rFonts w:hint="eastAsia"/>
                      <w:szCs w:val="21"/>
                    </w:rPr>
                    <w:t>t/a</w:t>
                  </w:r>
                </w:p>
              </w:tc>
              <w:tc>
                <w:tcPr>
                  <w:tcW w:w="870" w:type="dxa"/>
                  <w:vAlign w:val="center"/>
                </w:tcPr>
                <w:p>
                  <w:pPr>
                    <w:pStyle w:val="26"/>
                    <w:ind w:firstLine="0" w:firstLineChars="0"/>
                    <w:rPr>
                      <w:szCs w:val="21"/>
                    </w:rPr>
                  </w:pPr>
                  <w:r>
                    <w:rPr>
                      <w:rFonts w:hint="eastAsia"/>
                      <w:szCs w:val="21"/>
                    </w:rPr>
                    <w:t>/</w:t>
                  </w:r>
                </w:p>
              </w:tc>
              <w:tc>
                <w:tcPr>
                  <w:tcW w:w="2827" w:type="dxa"/>
                  <w:vAlign w:val="center"/>
                </w:tcPr>
                <w:p>
                  <w:pPr>
                    <w:pStyle w:val="26"/>
                    <w:ind w:firstLine="0" w:firstLineChars="0"/>
                    <w:rPr>
                      <w:szCs w:val="21"/>
                    </w:rPr>
                  </w:pPr>
                  <w:r>
                    <w:rPr>
                      <w:rFonts w:hint="eastAsia"/>
                      <w:szCs w:val="21"/>
                    </w:rPr>
                    <w:t>广东省《水污染物排放限值》(DB44/26-2001)第二时段三级标准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2</w:t>
                  </w:r>
                </w:p>
              </w:tc>
              <w:tc>
                <w:tcPr>
                  <w:tcW w:w="675" w:type="dxa"/>
                  <w:vMerge w:val="restart"/>
                  <w:vAlign w:val="center"/>
                </w:tcPr>
                <w:p>
                  <w:pPr>
                    <w:pStyle w:val="26"/>
                    <w:ind w:firstLine="0" w:firstLineChars="0"/>
                    <w:rPr>
                      <w:szCs w:val="21"/>
                    </w:rPr>
                  </w:pPr>
                  <w:r>
                    <w:rPr>
                      <w:rFonts w:hint="eastAsia"/>
                      <w:szCs w:val="21"/>
                    </w:rPr>
                    <w:t>有组织废气</w:t>
                  </w:r>
                </w:p>
              </w:tc>
              <w:tc>
                <w:tcPr>
                  <w:tcW w:w="915" w:type="dxa"/>
                  <w:vAlign w:val="center"/>
                </w:tcPr>
                <w:p>
                  <w:pPr>
                    <w:pStyle w:val="26"/>
                    <w:ind w:firstLine="0" w:firstLineChars="0"/>
                    <w:rPr>
                      <w:szCs w:val="21"/>
                    </w:rPr>
                  </w:pPr>
                  <w:r>
                    <w:rPr>
                      <w:rFonts w:hint="eastAsia"/>
                      <w:szCs w:val="21"/>
                    </w:rPr>
                    <w:t>喷粉粉尘</w:t>
                  </w:r>
                </w:p>
              </w:tc>
              <w:tc>
                <w:tcPr>
                  <w:tcW w:w="1305" w:type="dxa"/>
                  <w:vAlign w:val="center"/>
                </w:tcPr>
                <w:p>
                  <w:pPr>
                    <w:pStyle w:val="26"/>
                    <w:ind w:firstLine="0" w:firstLineChars="0"/>
                    <w:rPr>
                      <w:szCs w:val="21"/>
                    </w:rPr>
                  </w:pPr>
                  <w:r>
                    <w:rPr>
                      <w:rFonts w:hint="eastAsia"/>
                      <w:szCs w:val="21"/>
                    </w:rPr>
                    <w:t>高密度滤芯过+脉冲反吹清灰</w:t>
                  </w:r>
                </w:p>
              </w:tc>
              <w:tc>
                <w:tcPr>
                  <w:tcW w:w="570" w:type="dxa"/>
                  <w:vAlign w:val="center"/>
                </w:tcPr>
                <w:p>
                  <w:pPr>
                    <w:pStyle w:val="26"/>
                    <w:ind w:firstLine="0" w:firstLineChars="0"/>
                    <w:rPr>
                      <w:szCs w:val="21"/>
                    </w:rPr>
                  </w:pPr>
                  <w:r>
                    <w:rPr>
                      <w:rFonts w:hint="eastAsia"/>
                      <w:szCs w:val="21"/>
                      <w:lang w:val="en-US" w:eastAsia="zh-CN"/>
                    </w:rPr>
                    <w:t>1</w:t>
                  </w:r>
                  <w:r>
                    <w:rPr>
                      <w:rFonts w:hint="eastAsia"/>
                      <w:szCs w:val="21"/>
                    </w:rPr>
                    <w:t>套</w:t>
                  </w:r>
                </w:p>
              </w:tc>
              <w:tc>
                <w:tcPr>
                  <w:tcW w:w="672" w:type="dxa"/>
                  <w:vAlign w:val="center"/>
                </w:tcPr>
                <w:p>
                  <w:pPr>
                    <w:pStyle w:val="26"/>
                    <w:ind w:firstLine="0" w:firstLineChars="0"/>
                    <w:rPr>
                      <w:szCs w:val="21"/>
                    </w:rPr>
                  </w:pPr>
                  <w:r>
                    <w:rPr>
                      <w:rFonts w:hint="eastAsia"/>
                      <w:szCs w:val="21"/>
                    </w:rPr>
                    <w:t>2</w:t>
                  </w:r>
                  <w:r>
                    <w:rPr>
                      <w:rFonts w:hint="eastAsia"/>
                      <w:szCs w:val="21"/>
                      <w:lang w:val="en-US" w:eastAsia="zh-CN"/>
                    </w:rPr>
                    <w:t>5</w:t>
                  </w:r>
                  <w:r>
                    <w:rPr>
                      <w:rFonts w:hint="eastAsia"/>
                      <w:szCs w:val="21"/>
                    </w:rPr>
                    <w:t>000</w:t>
                  </w:r>
                </w:p>
                <w:p>
                  <w:pPr>
                    <w:pStyle w:val="26"/>
                    <w:ind w:firstLine="0" w:firstLineChars="0"/>
                    <w:rPr>
                      <w:szCs w:val="21"/>
                    </w:rPr>
                  </w:pPr>
                  <w:r>
                    <w:rPr>
                      <w:rFonts w:hint="eastAsia"/>
                      <w:szCs w:val="21"/>
                    </w:rPr>
                    <w:t>m</w:t>
                  </w:r>
                  <w:r>
                    <w:rPr>
                      <w:rFonts w:hint="eastAsia"/>
                      <w:szCs w:val="21"/>
                      <w:vertAlign w:val="superscript"/>
                    </w:rPr>
                    <w:t>3</w:t>
                  </w:r>
                  <w:r>
                    <w:rPr>
                      <w:rFonts w:hint="eastAsia"/>
                      <w:szCs w:val="21"/>
                    </w:rPr>
                    <w:t>/h</w:t>
                  </w:r>
                </w:p>
              </w:tc>
              <w:tc>
                <w:tcPr>
                  <w:tcW w:w="870" w:type="dxa"/>
                  <w:vAlign w:val="center"/>
                </w:tcPr>
                <w:p>
                  <w:pPr>
                    <w:pStyle w:val="26"/>
                    <w:ind w:firstLine="0" w:firstLineChars="0"/>
                    <w:rPr>
                      <w:szCs w:val="21"/>
                    </w:rPr>
                  </w:pPr>
                  <w:r>
                    <w:rPr>
                      <w:rFonts w:hint="eastAsia"/>
                      <w:szCs w:val="21"/>
                    </w:rPr>
                    <w:t>收集效率9</w:t>
                  </w:r>
                  <w:r>
                    <w:rPr>
                      <w:rFonts w:hint="eastAsia"/>
                      <w:szCs w:val="21"/>
                      <w:lang w:val="en-US" w:eastAsia="zh-CN"/>
                    </w:rPr>
                    <w:t>8</w:t>
                  </w:r>
                  <w:r>
                    <w:rPr>
                      <w:rFonts w:hint="eastAsia"/>
                      <w:szCs w:val="21"/>
                    </w:rPr>
                    <w:t>%</w:t>
                  </w:r>
                </w:p>
                <w:p>
                  <w:pPr>
                    <w:pStyle w:val="26"/>
                    <w:ind w:firstLine="0" w:firstLineChars="0"/>
                    <w:rPr>
                      <w:szCs w:val="21"/>
                    </w:rPr>
                  </w:pPr>
                  <w:r>
                    <w:rPr>
                      <w:rFonts w:hint="eastAsia"/>
                      <w:szCs w:val="21"/>
                    </w:rPr>
                    <w:t>净化效率9</w:t>
                  </w:r>
                  <w:r>
                    <w:rPr>
                      <w:rFonts w:hint="eastAsia"/>
                      <w:szCs w:val="21"/>
                      <w:lang w:val="en-US" w:eastAsia="zh-CN"/>
                    </w:rPr>
                    <w:t>5</w:t>
                  </w:r>
                  <w:r>
                    <w:rPr>
                      <w:rFonts w:hint="eastAsia"/>
                      <w:szCs w:val="21"/>
                    </w:rPr>
                    <w:t>%</w:t>
                  </w:r>
                </w:p>
              </w:tc>
              <w:tc>
                <w:tcPr>
                  <w:tcW w:w="2827" w:type="dxa"/>
                  <w:vAlign w:val="center"/>
                </w:tcPr>
                <w:p>
                  <w:pPr>
                    <w:keepNext/>
                    <w:autoSpaceDE w:val="0"/>
                    <w:autoSpaceDN w:val="0"/>
                    <w:adjustRightInd w:val="0"/>
                    <w:textAlignment w:val="baseline"/>
                    <w:rPr>
                      <w:bCs/>
                      <w:szCs w:val="21"/>
                    </w:rPr>
                  </w:pPr>
                  <w:r>
                    <w:rPr>
                      <w:szCs w:val="21"/>
                    </w:rPr>
                    <w:t>广东省《大气污染物排放限值》（DB44/27-2001）第二时段二级标准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3</w:t>
                  </w:r>
                </w:p>
              </w:tc>
              <w:tc>
                <w:tcPr>
                  <w:tcW w:w="675" w:type="dxa"/>
                  <w:vMerge w:val="continue"/>
                  <w:vAlign w:val="center"/>
                </w:tcPr>
                <w:p>
                  <w:pPr>
                    <w:pStyle w:val="26"/>
                    <w:ind w:firstLine="0" w:firstLineChars="0"/>
                    <w:rPr>
                      <w:szCs w:val="21"/>
                    </w:rPr>
                  </w:pPr>
                </w:p>
              </w:tc>
              <w:tc>
                <w:tcPr>
                  <w:tcW w:w="915" w:type="dxa"/>
                  <w:vAlign w:val="center"/>
                </w:tcPr>
                <w:p>
                  <w:pPr>
                    <w:pStyle w:val="26"/>
                    <w:ind w:firstLine="0" w:firstLineChars="0"/>
                    <w:rPr>
                      <w:szCs w:val="21"/>
                    </w:rPr>
                  </w:pPr>
                  <w:r>
                    <w:rPr>
                      <w:rFonts w:hint="eastAsia"/>
                      <w:szCs w:val="21"/>
                      <w:lang w:val="en-US" w:eastAsia="zh-CN"/>
                    </w:rPr>
                    <w:t>固化</w:t>
                  </w:r>
                  <w:r>
                    <w:rPr>
                      <w:rFonts w:hint="eastAsia"/>
                      <w:szCs w:val="21"/>
                    </w:rPr>
                    <w:t>废气</w:t>
                  </w:r>
                </w:p>
              </w:tc>
              <w:tc>
                <w:tcPr>
                  <w:tcW w:w="1305" w:type="dxa"/>
                  <w:vMerge w:val="restart"/>
                  <w:vAlign w:val="center"/>
                </w:tcPr>
                <w:p>
                  <w:pPr>
                    <w:pStyle w:val="26"/>
                    <w:ind w:firstLine="0" w:firstLineChars="0"/>
                    <w:rPr>
                      <w:szCs w:val="21"/>
                    </w:rPr>
                  </w:pPr>
                  <w:r>
                    <w:rPr>
                      <w:rFonts w:hint="eastAsia"/>
                      <w:szCs w:val="21"/>
                      <w:lang w:val="en-US" w:eastAsia="zh-CN"/>
                    </w:rPr>
                    <w:t>水喷淋+</w:t>
                  </w:r>
                  <w:r>
                    <w:rPr>
                      <w:szCs w:val="21"/>
                    </w:rPr>
                    <w:t>UV光解+活性炭</w:t>
                  </w:r>
                  <w:r>
                    <w:rPr>
                      <w:rFonts w:hint="eastAsia"/>
                      <w:szCs w:val="21"/>
                    </w:rPr>
                    <w:t>吸附</w:t>
                  </w:r>
                </w:p>
              </w:tc>
              <w:tc>
                <w:tcPr>
                  <w:tcW w:w="570" w:type="dxa"/>
                  <w:vMerge w:val="restart"/>
                  <w:vAlign w:val="center"/>
                </w:tcPr>
                <w:p>
                  <w:pPr>
                    <w:pStyle w:val="26"/>
                    <w:ind w:firstLine="0" w:firstLineChars="0"/>
                    <w:rPr>
                      <w:szCs w:val="21"/>
                    </w:rPr>
                  </w:pPr>
                  <w:r>
                    <w:rPr>
                      <w:rFonts w:hint="eastAsia"/>
                      <w:szCs w:val="21"/>
                    </w:rPr>
                    <w:t>1套</w:t>
                  </w:r>
                </w:p>
              </w:tc>
              <w:tc>
                <w:tcPr>
                  <w:tcW w:w="672" w:type="dxa"/>
                  <w:vMerge w:val="restart"/>
                  <w:vAlign w:val="center"/>
                </w:tcPr>
                <w:p>
                  <w:pPr>
                    <w:pStyle w:val="26"/>
                    <w:ind w:firstLine="0" w:firstLineChars="0"/>
                    <w:rPr>
                      <w:szCs w:val="21"/>
                    </w:rPr>
                  </w:pPr>
                  <w:r>
                    <w:rPr>
                      <w:rFonts w:hint="eastAsia"/>
                      <w:szCs w:val="21"/>
                      <w:lang w:val="en-US" w:eastAsia="zh-CN"/>
                    </w:rPr>
                    <w:t>1</w:t>
                  </w:r>
                  <w:r>
                    <w:rPr>
                      <w:rFonts w:hint="eastAsia"/>
                      <w:szCs w:val="21"/>
                    </w:rPr>
                    <w:t>5</w:t>
                  </w:r>
                  <w:r>
                    <w:rPr>
                      <w:rFonts w:hint="eastAsia"/>
                      <w:szCs w:val="21"/>
                      <w:lang w:val="en-US" w:eastAsia="zh-CN"/>
                    </w:rPr>
                    <w:t>0</w:t>
                  </w:r>
                  <w:r>
                    <w:rPr>
                      <w:rFonts w:hint="eastAsia"/>
                      <w:szCs w:val="21"/>
                    </w:rPr>
                    <w:t>00</w:t>
                  </w:r>
                </w:p>
                <w:p>
                  <w:pPr>
                    <w:pStyle w:val="26"/>
                    <w:ind w:firstLine="0" w:firstLineChars="0"/>
                    <w:rPr>
                      <w:rFonts w:hint="eastAsia"/>
                      <w:szCs w:val="21"/>
                    </w:rPr>
                  </w:pPr>
                  <w:r>
                    <w:rPr>
                      <w:rFonts w:hint="eastAsia"/>
                      <w:szCs w:val="21"/>
                    </w:rPr>
                    <w:t>m</w:t>
                  </w:r>
                  <w:r>
                    <w:rPr>
                      <w:rFonts w:hint="eastAsia"/>
                      <w:szCs w:val="21"/>
                      <w:vertAlign w:val="superscript"/>
                    </w:rPr>
                    <w:t>3</w:t>
                  </w:r>
                  <w:r>
                    <w:rPr>
                      <w:rFonts w:hint="eastAsia"/>
                      <w:szCs w:val="21"/>
                    </w:rPr>
                    <w:t>/h</w:t>
                  </w:r>
                </w:p>
                <w:p>
                  <w:pPr>
                    <w:pStyle w:val="26"/>
                    <w:ind w:firstLine="0" w:firstLineChars="0"/>
                    <w:rPr>
                      <w:szCs w:val="21"/>
                    </w:rPr>
                  </w:pPr>
                </w:p>
              </w:tc>
              <w:tc>
                <w:tcPr>
                  <w:tcW w:w="870" w:type="dxa"/>
                  <w:vMerge w:val="restart"/>
                  <w:vAlign w:val="center"/>
                </w:tcPr>
                <w:p>
                  <w:pPr>
                    <w:pStyle w:val="26"/>
                    <w:ind w:firstLine="0" w:firstLineChars="0"/>
                    <w:rPr>
                      <w:szCs w:val="21"/>
                    </w:rPr>
                  </w:pPr>
                  <w:r>
                    <w:rPr>
                      <w:rFonts w:hint="eastAsia"/>
                      <w:szCs w:val="21"/>
                    </w:rPr>
                    <w:t>收集效率90%</w:t>
                  </w:r>
                </w:p>
                <w:p>
                  <w:pPr>
                    <w:pStyle w:val="26"/>
                    <w:ind w:firstLine="0" w:firstLineChars="0"/>
                    <w:rPr>
                      <w:szCs w:val="21"/>
                    </w:rPr>
                  </w:pPr>
                  <w:r>
                    <w:rPr>
                      <w:rFonts w:hint="eastAsia"/>
                      <w:szCs w:val="21"/>
                    </w:rPr>
                    <w:t>净化效率90%</w:t>
                  </w:r>
                </w:p>
              </w:tc>
              <w:tc>
                <w:tcPr>
                  <w:tcW w:w="2827" w:type="dxa"/>
                  <w:vAlign w:val="center"/>
                </w:tcPr>
                <w:p>
                  <w:pPr>
                    <w:snapToGrid w:val="0"/>
                    <w:jc w:val="center"/>
                    <w:rPr>
                      <w:bCs/>
                      <w:szCs w:val="21"/>
                    </w:rPr>
                  </w:pPr>
                  <w:r>
                    <w:rPr>
                      <w:rFonts w:hint="eastAsia"/>
                    </w:rPr>
                    <w:t>广东省《家具制造行业挥发性有机化合物排放标准》（DB44/814-2010）第Ⅱ时段限值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4</w:t>
                  </w:r>
                </w:p>
              </w:tc>
              <w:tc>
                <w:tcPr>
                  <w:tcW w:w="675" w:type="dxa"/>
                  <w:vMerge w:val="continue"/>
                  <w:vAlign w:val="center"/>
                </w:tcPr>
                <w:p>
                  <w:pPr>
                    <w:pStyle w:val="26"/>
                    <w:ind w:firstLine="0" w:firstLineChars="0"/>
                    <w:rPr>
                      <w:szCs w:val="21"/>
                    </w:rPr>
                  </w:pPr>
                </w:p>
              </w:tc>
              <w:tc>
                <w:tcPr>
                  <w:tcW w:w="915" w:type="dxa"/>
                  <w:vAlign w:val="center"/>
                </w:tcPr>
                <w:p>
                  <w:pPr>
                    <w:pStyle w:val="26"/>
                    <w:ind w:firstLine="0" w:firstLineChars="0"/>
                    <w:rPr>
                      <w:szCs w:val="21"/>
                    </w:rPr>
                  </w:pPr>
                  <w:r>
                    <w:rPr>
                      <w:rFonts w:hint="eastAsia"/>
                      <w:szCs w:val="21"/>
                    </w:rPr>
                    <w:t>燃烧废气</w:t>
                  </w:r>
                </w:p>
              </w:tc>
              <w:tc>
                <w:tcPr>
                  <w:tcW w:w="1305" w:type="dxa"/>
                  <w:vMerge w:val="continue"/>
                  <w:tcBorders/>
                  <w:vAlign w:val="center"/>
                </w:tcPr>
                <w:p>
                  <w:pPr>
                    <w:pStyle w:val="26"/>
                    <w:ind w:firstLine="0" w:firstLineChars="0"/>
                    <w:rPr>
                      <w:szCs w:val="21"/>
                    </w:rPr>
                  </w:pPr>
                </w:p>
              </w:tc>
              <w:tc>
                <w:tcPr>
                  <w:tcW w:w="570" w:type="dxa"/>
                  <w:vMerge w:val="continue"/>
                  <w:tcBorders/>
                  <w:vAlign w:val="center"/>
                </w:tcPr>
                <w:p>
                  <w:pPr>
                    <w:pStyle w:val="26"/>
                    <w:ind w:firstLine="0" w:firstLineChars="0"/>
                    <w:rPr>
                      <w:szCs w:val="21"/>
                    </w:rPr>
                  </w:pPr>
                </w:p>
              </w:tc>
              <w:tc>
                <w:tcPr>
                  <w:tcW w:w="672" w:type="dxa"/>
                  <w:vMerge w:val="continue"/>
                  <w:tcBorders/>
                  <w:vAlign w:val="center"/>
                </w:tcPr>
                <w:p>
                  <w:pPr>
                    <w:pStyle w:val="26"/>
                    <w:ind w:firstLine="0" w:firstLineChars="0"/>
                    <w:rPr>
                      <w:szCs w:val="21"/>
                    </w:rPr>
                  </w:pPr>
                </w:p>
              </w:tc>
              <w:tc>
                <w:tcPr>
                  <w:tcW w:w="870" w:type="dxa"/>
                  <w:vMerge w:val="continue"/>
                  <w:tcBorders/>
                  <w:vAlign w:val="center"/>
                </w:tcPr>
                <w:p>
                  <w:pPr>
                    <w:pStyle w:val="26"/>
                    <w:ind w:firstLine="0" w:firstLineChars="0"/>
                    <w:rPr>
                      <w:szCs w:val="21"/>
                    </w:rPr>
                  </w:pPr>
                </w:p>
              </w:tc>
              <w:tc>
                <w:tcPr>
                  <w:tcW w:w="2827" w:type="dxa"/>
                  <w:vAlign w:val="center"/>
                </w:tcPr>
                <w:p>
                  <w:pPr>
                    <w:adjustRightInd w:val="0"/>
                    <w:snapToGrid w:val="0"/>
                    <w:rPr>
                      <w:bCs/>
                      <w:szCs w:val="21"/>
                    </w:rPr>
                  </w:pPr>
                  <w:r>
                    <w:rPr>
                      <w:rFonts w:hint="eastAsia"/>
                      <w:szCs w:val="21"/>
                    </w:rPr>
                    <w:t>广东省《锅炉大气污染物排放标准》（DB 44/765-2019）中新建燃气锅炉标准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5</w:t>
                  </w:r>
                </w:p>
              </w:tc>
              <w:tc>
                <w:tcPr>
                  <w:tcW w:w="675" w:type="dxa"/>
                  <w:vMerge w:val="restart"/>
                  <w:vAlign w:val="center"/>
                </w:tcPr>
                <w:p>
                  <w:pPr>
                    <w:pStyle w:val="26"/>
                    <w:ind w:firstLine="0" w:firstLineChars="0"/>
                    <w:rPr>
                      <w:szCs w:val="21"/>
                    </w:rPr>
                  </w:pPr>
                  <w:r>
                    <w:rPr>
                      <w:rFonts w:hint="eastAsia"/>
                      <w:szCs w:val="21"/>
                    </w:rPr>
                    <w:t>无组织废气</w:t>
                  </w:r>
                </w:p>
              </w:tc>
              <w:tc>
                <w:tcPr>
                  <w:tcW w:w="915" w:type="dxa"/>
                  <w:vAlign w:val="center"/>
                </w:tcPr>
                <w:p>
                  <w:pPr>
                    <w:pStyle w:val="26"/>
                    <w:ind w:firstLine="0" w:firstLineChars="0"/>
                    <w:rPr>
                      <w:szCs w:val="21"/>
                    </w:rPr>
                  </w:pPr>
                  <w:r>
                    <w:rPr>
                      <w:rFonts w:hint="eastAsia"/>
                      <w:szCs w:val="21"/>
                      <w:lang w:val="en-US" w:eastAsia="zh-CN"/>
                    </w:rPr>
                    <w:t>固化</w:t>
                  </w:r>
                  <w:r>
                    <w:rPr>
                      <w:rFonts w:hint="eastAsia"/>
                      <w:szCs w:val="21"/>
                    </w:rPr>
                    <w:t>废气</w:t>
                  </w:r>
                </w:p>
              </w:tc>
              <w:tc>
                <w:tcPr>
                  <w:tcW w:w="1305" w:type="dxa"/>
                  <w:vAlign w:val="center"/>
                </w:tcPr>
                <w:p>
                  <w:pPr>
                    <w:pStyle w:val="26"/>
                    <w:ind w:firstLine="0" w:firstLineChars="0"/>
                    <w:rPr>
                      <w:szCs w:val="21"/>
                    </w:rPr>
                  </w:pPr>
                  <w:r>
                    <w:rPr>
                      <w:rFonts w:hint="eastAsia"/>
                      <w:szCs w:val="21"/>
                    </w:rPr>
                    <w:t>加强通风措施</w:t>
                  </w:r>
                </w:p>
              </w:tc>
              <w:tc>
                <w:tcPr>
                  <w:tcW w:w="570" w:type="dxa"/>
                  <w:vAlign w:val="center"/>
                </w:tcPr>
                <w:p>
                  <w:pPr>
                    <w:pStyle w:val="26"/>
                    <w:ind w:firstLine="0" w:firstLineChars="0"/>
                    <w:rPr>
                      <w:szCs w:val="21"/>
                    </w:rPr>
                  </w:pPr>
                  <w:r>
                    <w:rPr>
                      <w:rFonts w:hint="eastAsia"/>
                      <w:szCs w:val="21"/>
                    </w:rPr>
                    <w:t>/</w:t>
                  </w:r>
                </w:p>
              </w:tc>
              <w:tc>
                <w:tcPr>
                  <w:tcW w:w="672" w:type="dxa"/>
                  <w:vAlign w:val="center"/>
                </w:tcPr>
                <w:p>
                  <w:pPr>
                    <w:pStyle w:val="26"/>
                    <w:ind w:firstLine="0" w:firstLineChars="0"/>
                    <w:rPr>
                      <w:szCs w:val="21"/>
                    </w:rPr>
                  </w:pPr>
                  <w:r>
                    <w:rPr>
                      <w:rFonts w:hint="eastAsia"/>
                      <w:szCs w:val="21"/>
                    </w:rPr>
                    <w:t>/</w:t>
                  </w:r>
                </w:p>
              </w:tc>
              <w:tc>
                <w:tcPr>
                  <w:tcW w:w="870" w:type="dxa"/>
                  <w:vAlign w:val="center"/>
                </w:tcPr>
                <w:p>
                  <w:pPr>
                    <w:pStyle w:val="26"/>
                    <w:ind w:firstLine="0" w:firstLineChars="0"/>
                    <w:rPr>
                      <w:szCs w:val="21"/>
                    </w:rPr>
                  </w:pPr>
                  <w:r>
                    <w:rPr>
                      <w:rFonts w:hint="eastAsia"/>
                      <w:szCs w:val="21"/>
                    </w:rPr>
                    <w:t>/</w:t>
                  </w:r>
                </w:p>
              </w:tc>
              <w:tc>
                <w:tcPr>
                  <w:tcW w:w="2827" w:type="dxa"/>
                  <w:vAlign w:val="center"/>
                </w:tcPr>
                <w:p>
                  <w:pPr>
                    <w:keepNext/>
                    <w:autoSpaceDE w:val="0"/>
                    <w:autoSpaceDN w:val="0"/>
                    <w:adjustRightInd w:val="0"/>
                    <w:textAlignment w:val="baseline"/>
                    <w:rPr>
                      <w:bCs/>
                      <w:szCs w:val="21"/>
                    </w:rPr>
                  </w:pPr>
                  <w:r>
                    <w:rPr>
                      <w:rFonts w:hint="eastAsia"/>
                    </w:rPr>
                    <w:t>广东省《家具制造行业挥发性有机化合物排放标准》（DB44/814-2010）</w:t>
                  </w:r>
                  <w:r>
                    <w:rPr>
                      <w:rFonts w:hint="eastAsia"/>
                      <w:szCs w:val="21"/>
                    </w:rPr>
                    <w:t>无组织排放标准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rFonts w:hint="eastAsia" w:eastAsia="宋体"/>
                      <w:szCs w:val="21"/>
                      <w:lang w:val="en-US" w:eastAsia="zh-CN"/>
                    </w:rPr>
                  </w:pPr>
                  <w:r>
                    <w:rPr>
                      <w:rFonts w:hint="eastAsia"/>
                      <w:szCs w:val="21"/>
                      <w:lang w:val="en-US" w:eastAsia="zh-CN"/>
                    </w:rPr>
                    <w:t>6</w:t>
                  </w:r>
                </w:p>
              </w:tc>
              <w:tc>
                <w:tcPr>
                  <w:tcW w:w="675" w:type="dxa"/>
                  <w:vMerge w:val="continue"/>
                  <w:tcBorders/>
                  <w:vAlign w:val="center"/>
                </w:tcPr>
                <w:p>
                  <w:pPr>
                    <w:pStyle w:val="26"/>
                    <w:ind w:firstLine="0" w:firstLineChars="0"/>
                    <w:rPr>
                      <w:rFonts w:hint="eastAsia"/>
                      <w:szCs w:val="21"/>
                    </w:rPr>
                  </w:pPr>
                </w:p>
              </w:tc>
              <w:tc>
                <w:tcPr>
                  <w:tcW w:w="915" w:type="dxa"/>
                  <w:vAlign w:val="center"/>
                </w:tcPr>
                <w:p>
                  <w:pPr>
                    <w:pStyle w:val="26"/>
                    <w:ind w:firstLine="0" w:firstLineChars="0"/>
                    <w:rPr>
                      <w:rFonts w:hint="eastAsia"/>
                      <w:szCs w:val="21"/>
                      <w:lang w:val="en-US" w:eastAsia="zh-CN"/>
                    </w:rPr>
                  </w:pPr>
                  <w:r>
                    <w:rPr>
                      <w:rFonts w:hint="eastAsia"/>
                      <w:szCs w:val="21"/>
                    </w:rPr>
                    <w:t>喷粉粉尘</w:t>
                  </w:r>
                </w:p>
              </w:tc>
              <w:tc>
                <w:tcPr>
                  <w:tcW w:w="1305" w:type="dxa"/>
                  <w:vAlign w:val="center"/>
                </w:tcPr>
                <w:p>
                  <w:pPr>
                    <w:pStyle w:val="26"/>
                    <w:ind w:firstLine="0" w:firstLineChars="0"/>
                    <w:rPr>
                      <w:rFonts w:hint="eastAsia"/>
                      <w:szCs w:val="21"/>
                    </w:rPr>
                  </w:pPr>
                  <w:r>
                    <w:rPr>
                      <w:rFonts w:hint="eastAsia"/>
                      <w:szCs w:val="21"/>
                    </w:rPr>
                    <w:t>加强通风措施</w:t>
                  </w:r>
                </w:p>
              </w:tc>
              <w:tc>
                <w:tcPr>
                  <w:tcW w:w="570" w:type="dxa"/>
                  <w:vAlign w:val="center"/>
                </w:tcPr>
                <w:p>
                  <w:pPr>
                    <w:pStyle w:val="26"/>
                    <w:ind w:firstLine="0" w:firstLineChars="0"/>
                    <w:rPr>
                      <w:rFonts w:hint="eastAsia"/>
                      <w:szCs w:val="21"/>
                    </w:rPr>
                  </w:pPr>
                  <w:r>
                    <w:rPr>
                      <w:rFonts w:hint="eastAsia"/>
                      <w:szCs w:val="21"/>
                    </w:rPr>
                    <w:t>/</w:t>
                  </w:r>
                </w:p>
              </w:tc>
              <w:tc>
                <w:tcPr>
                  <w:tcW w:w="672" w:type="dxa"/>
                  <w:vAlign w:val="center"/>
                </w:tcPr>
                <w:p>
                  <w:pPr>
                    <w:pStyle w:val="26"/>
                    <w:ind w:firstLine="0" w:firstLineChars="0"/>
                    <w:rPr>
                      <w:rFonts w:hint="eastAsia"/>
                      <w:szCs w:val="21"/>
                    </w:rPr>
                  </w:pPr>
                  <w:r>
                    <w:rPr>
                      <w:rFonts w:hint="eastAsia"/>
                      <w:szCs w:val="21"/>
                    </w:rPr>
                    <w:t>/</w:t>
                  </w:r>
                </w:p>
              </w:tc>
              <w:tc>
                <w:tcPr>
                  <w:tcW w:w="870" w:type="dxa"/>
                  <w:vAlign w:val="center"/>
                </w:tcPr>
                <w:p>
                  <w:pPr>
                    <w:pStyle w:val="26"/>
                    <w:ind w:firstLine="0" w:firstLineChars="0"/>
                    <w:rPr>
                      <w:rFonts w:hint="eastAsia"/>
                      <w:szCs w:val="21"/>
                    </w:rPr>
                  </w:pPr>
                  <w:r>
                    <w:rPr>
                      <w:rFonts w:hint="eastAsia"/>
                      <w:szCs w:val="21"/>
                    </w:rPr>
                    <w:t>/</w:t>
                  </w:r>
                </w:p>
              </w:tc>
              <w:tc>
                <w:tcPr>
                  <w:tcW w:w="2827" w:type="dxa"/>
                  <w:vAlign w:val="center"/>
                </w:tcPr>
                <w:p>
                  <w:pPr>
                    <w:keepNext/>
                    <w:autoSpaceDE w:val="0"/>
                    <w:autoSpaceDN w:val="0"/>
                    <w:adjustRightInd w:val="0"/>
                    <w:textAlignment w:val="baseline"/>
                    <w:rPr>
                      <w:rFonts w:hint="eastAsia"/>
                    </w:rPr>
                  </w:pPr>
                  <w:r>
                    <w:rPr>
                      <w:szCs w:val="21"/>
                    </w:rPr>
                    <w:t>广东省《大气污染物排放限值》（DB44/27-2001）第二时段</w:t>
                  </w:r>
                  <w:r>
                    <w:rPr>
                      <w:rFonts w:hint="eastAsia"/>
                      <w:szCs w:val="21"/>
                    </w:rPr>
                    <w:t>无组织排放标准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7</w:t>
                  </w:r>
                </w:p>
              </w:tc>
              <w:tc>
                <w:tcPr>
                  <w:tcW w:w="675" w:type="dxa"/>
                  <w:vMerge w:val="restart"/>
                  <w:vAlign w:val="center"/>
                </w:tcPr>
                <w:p>
                  <w:pPr>
                    <w:pStyle w:val="26"/>
                    <w:ind w:firstLine="0" w:firstLineChars="0"/>
                    <w:rPr>
                      <w:szCs w:val="21"/>
                    </w:rPr>
                  </w:pPr>
                  <w:r>
                    <w:rPr>
                      <w:rFonts w:hint="eastAsia"/>
                      <w:szCs w:val="21"/>
                    </w:rPr>
                    <w:t>固废</w:t>
                  </w:r>
                </w:p>
              </w:tc>
              <w:tc>
                <w:tcPr>
                  <w:tcW w:w="915" w:type="dxa"/>
                  <w:vAlign w:val="center"/>
                </w:tcPr>
                <w:p>
                  <w:pPr>
                    <w:pStyle w:val="37"/>
                    <w:rPr>
                      <w:szCs w:val="21"/>
                    </w:rPr>
                  </w:pPr>
                  <w:r>
                    <w:rPr>
                      <w:rFonts w:hint="eastAsia"/>
                      <w:szCs w:val="21"/>
                    </w:rPr>
                    <w:t>生活垃圾</w:t>
                  </w:r>
                </w:p>
              </w:tc>
              <w:tc>
                <w:tcPr>
                  <w:tcW w:w="1305" w:type="dxa"/>
                  <w:vAlign w:val="center"/>
                </w:tcPr>
                <w:p>
                  <w:pPr>
                    <w:pStyle w:val="37"/>
                    <w:rPr>
                      <w:szCs w:val="21"/>
                    </w:rPr>
                  </w:pPr>
                  <w:r>
                    <w:rPr>
                      <w:rFonts w:hint="eastAsia"/>
                      <w:szCs w:val="21"/>
                    </w:rPr>
                    <w:t>交环卫部门统一处置</w:t>
                  </w:r>
                </w:p>
              </w:tc>
              <w:tc>
                <w:tcPr>
                  <w:tcW w:w="570" w:type="dxa"/>
                  <w:vAlign w:val="center"/>
                </w:tcPr>
                <w:p>
                  <w:pPr>
                    <w:keepNext/>
                    <w:autoSpaceDE w:val="0"/>
                    <w:autoSpaceDN w:val="0"/>
                    <w:adjustRightInd w:val="0"/>
                    <w:jc w:val="center"/>
                    <w:textAlignment w:val="baseline"/>
                    <w:rPr>
                      <w:szCs w:val="21"/>
                    </w:rPr>
                  </w:pPr>
                  <w:r>
                    <w:rPr>
                      <w:rFonts w:hint="eastAsia"/>
                      <w:szCs w:val="21"/>
                    </w:rPr>
                    <w:t>/</w:t>
                  </w:r>
                </w:p>
              </w:tc>
              <w:tc>
                <w:tcPr>
                  <w:tcW w:w="672" w:type="dxa"/>
                  <w:vAlign w:val="center"/>
                </w:tcPr>
                <w:p>
                  <w:pPr>
                    <w:pStyle w:val="37"/>
                    <w:rPr>
                      <w:szCs w:val="21"/>
                    </w:rPr>
                  </w:pPr>
                  <w:r>
                    <w:rPr>
                      <w:rFonts w:hint="eastAsia"/>
                      <w:szCs w:val="21"/>
                    </w:rPr>
                    <w:t>3.75 t/a</w:t>
                  </w:r>
                </w:p>
              </w:tc>
              <w:tc>
                <w:tcPr>
                  <w:tcW w:w="870" w:type="dxa"/>
                  <w:vMerge w:val="restart"/>
                  <w:vAlign w:val="center"/>
                </w:tcPr>
                <w:p>
                  <w:pPr>
                    <w:pStyle w:val="26"/>
                    <w:ind w:firstLine="0" w:firstLineChars="0"/>
                    <w:rPr>
                      <w:szCs w:val="21"/>
                    </w:rPr>
                  </w:pPr>
                  <w:r>
                    <w:rPr>
                      <w:rFonts w:hint="eastAsia"/>
                      <w:szCs w:val="21"/>
                    </w:rPr>
                    <w:t>对周边无影响</w:t>
                  </w:r>
                </w:p>
              </w:tc>
              <w:tc>
                <w:tcPr>
                  <w:tcW w:w="2827" w:type="dxa"/>
                  <w:vAlign w:val="center"/>
                </w:tcPr>
                <w:p>
                  <w:pPr>
                    <w:pStyle w:val="26"/>
                    <w:ind w:firstLine="0" w:firstLineChars="0"/>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8</w:t>
                  </w:r>
                </w:p>
              </w:tc>
              <w:tc>
                <w:tcPr>
                  <w:tcW w:w="675" w:type="dxa"/>
                  <w:vMerge w:val="continue"/>
                  <w:vAlign w:val="center"/>
                </w:tcPr>
                <w:p>
                  <w:pPr>
                    <w:pStyle w:val="26"/>
                    <w:ind w:firstLine="0" w:firstLineChars="0"/>
                    <w:rPr>
                      <w:szCs w:val="21"/>
                    </w:rPr>
                  </w:pPr>
                </w:p>
              </w:tc>
              <w:tc>
                <w:tcPr>
                  <w:tcW w:w="915" w:type="dxa"/>
                  <w:vAlign w:val="center"/>
                </w:tcPr>
                <w:p>
                  <w:pPr>
                    <w:pStyle w:val="37"/>
                    <w:rPr>
                      <w:szCs w:val="21"/>
                    </w:rPr>
                  </w:pPr>
                  <w:r>
                    <w:rPr>
                      <w:rFonts w:hint="eastAsia"/>
                      <w:szCs w:val="21"/>
                    </w:rPr>
                    <w:t>废包装材料</w:t>
                  </w:r>
                </w:p>
              </w:tc>
              <w:tc>
                <w:tcPr>
                  <w:tcW w:w="1305" w:type="dxa"/>
                  <w:vAlign w:val="center"/>
                </w:tcPr>
                <w:p>
                  <w:pPr>
                    <w:pStyle w:val="37"/>
                    <w:rPr>
                      <w:szCs w:val="21"/>
                    </w:rPr>
                  </w:pPr>
                  <w:r>
                    <w:rPr>
                      <w:kern w:val="24"/>
                      <w:sz w:val="24"/>
                    </w:rPr>
                    <w:t>外卖回收公司</w:t>
                  </w:r>
                  <w:r>
                    <w:rPr>
                      <w:rFonts w:hint="eastAsia"/>
                      <w:kern w:val="24"/>
                      <w:sz w:val="24"/>
                    </w:rPr>
                    <w:t>处理</w:t>
                  </w:r>
                </w:p>
              </w:tc>
              <w:tc>
                <w:tcPr>
                  <w:tcW w:w="570" w:type="dxa"/>
                  <w:vAlign w:val="center"/>
                </w:tcPr>
                <w:p>
                  <w:pPr>
                    <w:keepNext/>
                    <w:autoSpaceDE w:val="0"/>
                    <w:autoSpaceDN w:val="0"/>
                    <w:adjustRightInd w:val="0"/>
                    <w:jc w:val="center"/>
                    <w:textAlignment w:val="baseline"/>
                    <w:rPr>
                      <w:szCs w:val="21"/>
                    </w:rPr>
                  </w:pPr>
                  <w:r>
                    <w:rPr>
                      <w:rFonts w:hint="eastAsia"/>
                      <w:szCs w:val="21"/>
                    </w:rPr>
                    <w:t>/</w:t>
                  </w:r>
                </w:p>
              </w:tc>
              <w:tc>
                <w:tcPr>
                  <w:tcW w:w="672" w:type="dxa"/>
                  <w:vAlign w:val="center"/>
                </w:tcPr>
                <w:p>
                  <w:pPr>
                    <w:pStyle w:val="37"/>
                    <w:rPr>
                      <w:szCs w:val="21"/>
                    </w:rPr>
                  </w:pPr>
                  <w:r>
                    <w:rPr>
                      <w:rFonts w:hint="eastAsia"/>
                      <w:szCs w:val="21"/>
                    </w:rPr>
                    <w:t>2t/a</w:t>
                  </w:r>
                </w:p>
              </w:tc>
              <w:tc>
                <w:tcPr>
                  <w:tcW w:w="870" w:type="dxa"/>
                  <w:vMerge w:val="continue"/>
                  <w:vAlign w:val="center"/>
                </w:tcPr>
                <w:p>
                  <w:pPr>
                    <w:pStyle w:val="26"/>
                    <w:ind w:firstLine="0" w:firstLineChars="0"/>
                    <w:rPr>
                      <w:szCs w:val="21"/>
                    </w:rPr>
                  </w:pPr>
                </w:p>
              </w:tc>
              <w:tc>
                <w:tcPr>
                  <w:tcW w:w="2827" w:type="dxa"/>
                  <w:vAlign w:val="center"/>
                </w:tcPr>
                <w:p>
                  <w:pPr>
                    <w:keepNext/>
                    <w:autoSpaceDE w:val="0"/>
                    <w:autoSpaceDN w:val="0"/>
                    <w:adjustRightInd w:val="0"/>
                    <w:jc w:val="center"/>
                    <w:textAlignment w:val="baseline"/>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9</w:t>
                  </w:r>
                </w:p>
              </w:tc>
              <w:tc>
                <w:tcPr>
                  <w:tcW w:w="675" w:type="dxa"/>
                  <w:vMerge w:val="restart"/>
                  <w:vAlign w:val="center"/>
                </w:tcPr>
                <w:p>
                  <w:pPr>
                    <w:pStyle w:val="26"/>
                    <w:ind w:firstLine="0" w:firstLineChars="0"/>
                    <w:rPr>
                      <w:szCs w:val="21"/>
                    </w:rPr>
                  </w:pPr>
                  <w:r>
                    <w:rPr>
                      <w:szCs w:val="21"/>
                    </w:rPr>
                    <w:t>危废</w:t>
                  </w:r>
                </w:p>
              </w:tc>
              <w:tc>
                <w:tcPr>
                  <w:tcW w:w="915" w:type="dxa"/>
                  <w:vAlign w:val="center"/>
                </w:tcPr>
                <w:p>
                  <w:pPr>
                    <w:pStyle w:val="37"/>
                    <w:rPr>
                      <w:szCs w:val="21"/>
                    </w:rPr>
                  </w:pPr>
                  <w:r>
                    <w:rPr>
                      <w:rFonts w:hint="eastAsia"/>
                      <w:szCs w:val="21"/>
                    </w:rPr>
                    <w:t>废活性炭</w:t>
                  </w:r>
                </w:p>
              </w:tc>
              <w:tc>
                <w:tcPr>
                  <w:tcW w:w="1305" w:type="dxa"/>
                  <w:vAlign w:val="center"/>
                </w:tcPr>
                <w:p>
                  <w:pPr>
                    <w:pStyle w:val="37"/>
                    <w:rPr>
                      <w:szCs w:val="21"/>
                    </w:rPr>
                  </w:pPr>
                  <w:r>
                    <w:rPr>
                      <w:rFonts w:hint="eastAsia"/>
                      <w:szCs w:val="21"/>
                    </w:rPr>
                    <w:t>交由有资质的单位处置</w:t>
                  </w:r>
                </w:p>
              </w:tc>
              <w:tc>
                <w:tcPr>
                  <w:tcW w:w="570" w:type="dxa"/>
                  <w:vAlign w:val="center"/>
                </w:tcPr>
                <w:p>
                  <w:pPr>
                    <w:pStyle w:val="26"/>
                    <w:ind w:firstLine="0" w:firstLineChars="0"/>
                    <w:rPr>
                      <w:szCs w:val="21"/>
                    </w:rPr>
                  </w:pPr>
                  <w:r>
                    <w:rPr>
                      <w:rFonts w:hint="eastAsia"/>
                      <w:szCs w:val="21"/>
                    </w:rPr>
                    <w:t>/</w:t>
                  </w:r>
                </w:p>
              </w:tc>
              <w:tc>
                <w:tcPr>
                  <w:tcW w:w="672" w:type="dxa"/>
                  <w:vAlign w:val="center"/>
                </w:tcPr>
                <w:p>
                  <w:pPr>
                    <w:pStyle w:val="37"/>
                    <w:rPr>
                      <w:szCs w:val="21"/>
                    </w:rPr>
                  </w:pPr>
                  <w:r>
                    <w:rPr>
                      <w:rFonts w:hint="eastAsia"/>
                      <w:bCs/>
                      <w:szCs w:val="21"/>
                    </w:rPr>
                    <w:t>0.</w:t>
                  </w:r>
                  <w:r>
                    <w:rPr>
                      <w:rFonts w:hint="eastAsia"/>
                      <w:bCs/>
                      <w:szCs w:val="21"/>
                      <w:lang w:val="en-US" w:eastAsia="zh-CN"/>
                    </w:rPr>
                    <w:t>24</w:t>
                  </w:r>
                  <w:r>
                    <w:rPr>
                      <w:rFonts w:hint="eastAsia"/>
                      <w:szCs w:val="21"/>
                    </w:rPr>
                    <w:t xml:space="preserve"> t/a</w:t>
                  </w:r>
                </w:p>
              </w:tc>
              <w:tc>
                <w:tcPr>
                  <w:tcW w:w="870" w:type="dxa"/>
                  <w:vMerge w:val="continue"/>
                  <w:vAlign w:val="center"/>
                </w:tcPr>
                <w:p>
                  <w:pPr>
                    <w:pStyle w:val="26"/>
                    <w:ind w:firstLine="0" w:firstLineChars="0"/>
                    <w:rPr>
                      <w:szCs w:val="21"/>
                    </w:rPr>
                  </w:pPr>
                </w:p>
              </w:tc>
              <w:tc>
                <w:tcPr>
                  <w:tcW w:w="2827" w:type="dxa"/>
                  <w:vAlign w:val="center"/>
                </w:tcPr>
                <w:p>
                  <w:pPr>
                    <w:pStyle w:val="26"/>
                    <w:ind w:firstLine="0" w:firstLineChars="0"/>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szCs w:val="21"/>
                    </w:rPr>
                  </w:pPr>
                  <w:r>
                    <w:rPr>
                      <w:rFonts w:hint="eastAsia"/>
                      <w:szCs w:val="21"/>
                    </w:rPr>
                    <w:t>10</w:t>
                  </w:r>
                </w:p>
              </w:tc>
              <w:tc>
                <w:tcPr>
                  <w:tcW w:w="675" w:type="dxa"/>
                  <w:vMerge w:val="continue"/>
                  <w:vAlign w:val="center"/>
                </w:tcPr>
                <w:p>
                  <w:pPr>
                    <w:pStyle w:val="26"/>
                    <w:ind w:firstLine="0" w:firstLineChars="0"/>
                    <w:rPr>
                      <w:szCs w:val="21"/>
                    </w:rPr>
                  </w:pPr>
                </w:p>
              </w:tc>
              <w:tc>
                <w:tcPr>
                  <w:tcW w:w="915" w:type="dxa"/>
                  <w:vAlign w:val="center"/>
                </w:tcPr>
                <w:p>
                  <w:pPr>
                    <w:pStyle w:val="37"/>
                    <w:rPr>
                      <w:szCs w:val="21"/>
                    </w:rPr>
                  </w:pPr>
                  <w:r>
                    <w:rPr>
                      <w:rFonts w:hint="eastAsia"/>
                      <w:szCs w:val="21"/>
                    </w:rPr>
                    <w:t>废UV灯管</w:t>
                  </w:r>
                </w:p>
              </w:tc>
              <w:tc>
                <w:tcPr>
                  <w:tcW w:w="1305" w:type="dxa"/>
                  <w:vAlign w:val="center"/>
                </w:tcPr>
                <w:p>
                  <w:pPr>
                    <w:pStyle w:val="37"/>
                    <w:rPr>
                      <w:szCs w:val="21"/>
                    </w:rPr>
                  </w:pPr>
                  <w:r>
                    <w:rPr>
                      <w:rFonts w:hint="eastAsia"/>
                      <w:szCs w:val="21"/>
                    </w:rPr>
                    <w:t>交由有资质的单位处置</w:t>
                  </w:r>
                </w:p>
              </w:tc>
              <w:tc>
                <w:tcPr>
                  <w:tcW w:w="570" w:type="dxa"/>
                  <w:vAlign w:val="center"/>
                </w:tcPr>
                <w:p>
                  <w:pPr>
                    <w:pStyle w:val="26"/>
                    <w:ind w:firstLine="0" w:firstLineChars="0"/>
                    <w:rPr>
                      <w:szCs w:val="21"/>
                    </w:rPr>
                  </w:pPr>
                  <w:r>
                    <w:rPr>
                      <w:rFonts w:hint="eastAsia"/>
                      <w:szCs w:val="21"/>
                    </w:rPr>
                    <w:t>/</w:t>
                  </w:r>
                </w:p>
              </w:tc>
              <w:tc>
                <w:tcPr>
                  <w:tcW w:w="672" w:type="dxa"/>
                  <w:vAlign w:val="center"/>
                </w:tcPr>
                <w:p>
                  <w:pPr>
                    <w:pStyle w:val="37"/>
                    <w:rPr>
                      <w:bCs/>
                      <w:szCs w:val="21"/>
                    </w:rPr>
                  </w:pPr>
                  <w:r>
                    <w:rPr>
                      <w:rFonts w:hint="eastAsia"/>
                      <w:bCs/>
                      <w:szCs w:val="21"/>
                    </w:rPr>
                    <w:t>0.01</w:t>
                  </w:r>
                </w:p>
                <w:p>
                  <w:pPr>
                    <w:pStyle w:val="37"/>
                    <w:rPr>
                      <w:bCs/>
                      <w:szCs w:val="21"/>
                    </w:rPr>
                  </w:pPr>
                  <w:r>
                    <w:rPr>
                      <w:rFonts w:hint="eastAsia"/>
                      <w:bCs/>
                      <w:szCs w:val="21"/>
                    </w:rPr>
                    <w:t>t/a</w:t>
                  </w:r>
                </w:p>
              </w:tc>
              <w:tc>
                <w:tcPr>
                  <w:tcW w:w="870" w:type="dxa"/>
                  <w:vMerge w:val="continue"/>
                  <w:vAlign w:val="center"/>
                </w:tcPr>
                <w:p>
                  <w:pPr>
                    <w:pStyle w:val="26"/>
                    <w:ind w:firstLine="0" w:firstLineChars="0"/>
                    <w:rPr>
                      <w:szCs w:val="21"/>
                    </w:rPr>
                  </w:pPr>
                </w:p>
              </w:tc>
              <w:tc>
                <w:tcPr>
                  <w:tcW w:w="2827" w:type="dxa"/>
                  <w:vAlign w:val="center"/>
                </w:tcPr>
                <w:p>
                  <w:pPr>
                    <w:pStyle w:val="26"/>
                    <w:ind w:firstLine="0" w:firstLineChars="0"/>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62" w:type="dxa"/>
                  <w:vAlign w:val="center"/>
                </w:tcPr>
                <w:p>
                  <w:pPr>
                    <w:pStyle w:val="26"/>
                    <w:ind w:firstLine="0" w:firstLineChars="0"/>
                    <w:rPr>
                      <w:rFonts w:hint="default" w:eastAsia="宋体"/>
                      <w:szCs w:val="21"/>
                      <w:lang w:val="en-US" w:eastAsia="zh-CN"/>
                    </w:rPr>
                  </w:pPr>
                  <w:r>
                    <w:rPr>
                      <w:rFonts w:hint="eastAsia"/>
                      <w:szCs w:val="21"/>
                      <w:lang w:val="en-US" w:eastAsia="zh-CN"/>
                    </w:rPr>
                    <w:t>11</w:t>
                  </w:r>
                </w:p>
              </w:tc>
              <w:tc>
                <w:tcPr>
                  <w:tcW w:w="675" w:type="dxa"/>
                  <w:vAlign w:val="center"/>
                </w:tcPr>
                <w:p>
                  <w:pPr>
                    <w:pStyle w:val="26"/>
                    <w:ind w:firstLine="0" w:firstLineChars="0"/>
                    <w:rPr>
                      <w:szCs w:val="21"/>
                    </w:rPr>
                  </w:pPr>
                  <w:r>
                    <w:rPr>
                      <w:rFonts w:hint="eastAsia"/>
                      <w:szCs w:val="21"/>
                    </w:rPr>
                    <w:t>噪声</w:t>
                  </w:r>
                </w:p>
              </w:tc>
              <w:tc>
                <w:tcPr>
                  <w:tcW w:w="915" w:type="dxa"/>
                  <w:vAlign w:val="center"/>
                </w:tcPr>
                <w:p>
                  <w:pPr>
                    <w:pStyle w:val="26"/>
                    <w:ind w:firstLine="0" w:firstLineChars="0"/>
                    <w:rPr>
                      <w:szCs w:val="21"/>
                    </w:rPr>
                  </w:pPr>
                  <w:r>
                    <w:rPr>
                      <w:rFonts w:hint="eastAsia"/>
                      <w:szCs w:val="21"/>
                    </w:rPr>
                    <w:t>设备噪声</w:t>
                  </w:r>
                </w:p>
              </w:tc>
              <w:tc>
                <w:tcPr>
                  <w:tcW w:w="1305" w:type="dxa"/>
                  <w:vAlign w:val="center"/>
                </w:tcPr>
                <w:p>
                  <w:pPr>
                    <w:pStyle w:val="26"/>
                    <w:ind w:firstLine="0" w:firstLineChars="0"/>
                    <w:rPr>
                      <w:szCs w:val="21"/>
                    </w:rPr>
                  </w:pPr>
                  <w:r>
                    <w:rPr>
                      <w:rFonts w:hint="eastAsia"/>
                      <w:szCs w:val="21"/>
                    </w:rPr>
                    <w:t>隔声、消声、减振等措施</w:t>
                  </w:r>
                </w:p>
              </w:tc>
              <w:tc>
                <w:tcPr>
                  <w:tcW w:w="570" w:type="dxa"/>
                  <w:vAlign w:val="center"/>
                </w:tcPr>
                <w:p>
                  <w:pPr>
                    <w:pStyle w:val="26"/>
                    <w:ind w:firstLine="0" w:firstLineChars="0"/>
                    <w:rPr>
                      <w:szCs w:val="21"/>
                    </w:rPr>
                  </w:pPr>
                  <w:r>
                    <w:rPr>
                      <w:rFonts w:hint="eastAsia"/>
                      <w:szCs w:val="21"/>
                    </w:rPr>
                    <w:t>/</w:t>
                  </w:r>
                </w:p>
              </w:tc>
              <w:tc>
                <w:tcPr>
                  <w:tcW w:w="672" w:type="dxa"/>
                  <w:vAlign w:val="center"/>
                </w:tcPr>
                <w:p>
                  <w:pPr>
                    <w:pStyle w:val="26"/>
                    <w:ind w:firstLine="0" w:firstLineChars="0"/>
                    <w:rPr>
                      <w:szCs w:val="21"/>
                    </w:rPr>
                  </w:pPr>
                  <w:r>
                    <w:rPr>
                      <w:rFonts w:hint="eastAsia"/>
                      <w:szCs w:val="21"/>
                    </w:rPr>
                    <w:t>/</w:t>
                  </w:r>
                </w:p>
              </w:tc>
              <w:tc>
                <w:tcPr>
                  <w:tcW w:w="870" w:type="dxa"/>
                  <w:vAlign w:val="center"/>
                </w:tcPr>
                <w:p>
                  <w:pPr>
                    <w:pStyle w:val="26"/>
                    <w:ind w:firstLine="0" w:firstLineChars="0"/>
                    <w:rPr>
                      <w:szCs w:val="21"/>
                    </w:rPr>
                  </w:pPr>
                  <w:r>
                    <w:rPr>
                      <w:rFonts w:hint="eastAsia"/>
                      <w:szCs w:val="21"/>
                    </w:rPr>
                    <w:t>/</w:t>
                  </w:r>
                </w:p>
              </w:tc>
              <w:tc>
                <w:tcPr>
                  <w:tcW w:w="2827" w:type="dxa"/>
                  <w:vAlign w:val="center"/>
                </w:tcPr>
                <w:p>
                  <w:pPr>
                    <w:pStyle w:val="26"/>
                    <w:ind w:firstLine="0" w:firstLineChars="0"/>
                    <w:rPr>
                      <w:szCs w:val="21"/>
                    </w:rPr>
                  </w:pPr>
                  <w:r>
                    <w:rPr>
                      <w:szCs w:val="21"/>
                    </w:rPr>
                    <w:t>《工业企业厂界环境噪声排放标准》(GB12348－2008)</w:t>
                  </w:r>
                  <w:r>
                    <w:rPr>
                      <w:rFonts w:hint="eastAsia"/>
                      <w:szCs w:val="21"/>
                    </w:rPr>
                    <w:t>2类</w:t>
                  </w:r>
                  <w:r>
                    <w:rPr>
                      <w:szCs w:val="21"/>
                    </w:rPr>
                    <w:t>标准</w:t>
                  </w:r>
                </w:p>
              </w:tc>
            </w:tr>
          </w:tbl>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pPr>
              <w:pStyle w:val="25"/>
              <w:rPr>
                <w:rFonts w:hint="eastAsia"/>
                <w:b/>
                <w:szCs w:val="21"/>
              </w:rPr>
            </w:pPr>
          </w:p>
          <w:p/>
        </w:tc>
      </w:tr>
    </w:tbl>
    <w:p>
      <w:pPr>
        <w:pStyle w:val="3"/>
        <w:spacing w:before="0" w:after="0" w:line="360" w:lineRule="auto"/>
        <w:rPr>
          <w:rFonts w:ascii="Times New Roman" w:hAnsi="Times New Roman"/>
          <w:sz w:val="28"/>
        </w:rPr>
        <w:sectPr>
          <w:pgSz w:w="11906" w:h="16838"/>
          <w:pgMar w:top="1440" w:right="1800" w:bottom="1440" w:left="1800" w:header="851" w:footer="992" w:gutter="0"/>
          <w:pgNumType w:fmt="decimal"/>
          <w:cols w:space="425" w:num="1"/>
          <w:docGrid w:type="lines" w:linePitch="312" w:charSpace="0"/>
        </w:sectPr>
      </w:pPr>
    </w:p>
    <w:p>
      <w:pPr>
        <w:pStyle w:val="3"/>
        <w:spacing w:before="0" w:after="0" w:line="360" w:lineRule="auto"/>
        <w:rPr>
          <w:rFonts w:ascii="Times New Roman" w:hAnsi="Times New Roman"/>
          <w:sz w:val="28"/>
        </w:rPr>
      </w:pPr>
      <w:r>
        <w:rPr>
          <w:rFonts w:hint="eastAsia" w:ascii="Times New Roman" w:hAnsi="Times New Roman"/>
          <w:sz w:val="28"/>
        </w:rPr>
        <w:t>项目主要污染物产生及预计排放情况</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170"/>
        <w:gridCol w:w="1466"/>
        <w:gridCol w:w="2344"/>
        <w:gridCol w:w="2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0" w:type="dxa"/>
            <w:vAlign w:val="center"/>
          </w:tcPr>
          <w:p>
            <w:pPr>
              <w:snapToGrid w:val="0"/>
              <w:spacing w:line="320" w:lineRule="exact"/>
              <w:jc w:val="center"/>
            </w:pPr>
            <w:r>
              <w:rPr>
                <w:rFonts w:hint="eastAsia"/>
                <w:b/>
                <w:sz w:val="24"/>
              </w:rPr>
              <w:t>类型</w:t>
            </w:r>
          </w:p>
        </w:tc>
        <w:tc>
          <w:tcPr>
            <w:tcW w:w="1170" w:type="dxa"/>
            <w:vAlign w:val="center"/>
          </w:tcPr>
          <w:p>
            <w:pPr>
              <w:snapToGrid w:val="0"/>
              <w:spacing w:line="320" w:lineRule="exact"/>
              <w:jc w:val="center"/>
              <w:rPr>
                <w:b/>
                <w:sz w:val="24"/>
              </w:rPr>
            </w:pPr>
            <w:r>
              <w:rPr>
                <w:rFonts w:hint="eastAsia"/>
                <w:b/>
                <w:sz w:val="24"/>
              </w:rPr>
              <w:t>排放源</w:t>
            </w:r>
          </w:p>
          <w:p>
            <w:pPr>
              <w:snapToGrid w:val="0"/>
              <w:spacing w:line="320" w:lineRule="exact"/>
              <w:jc w:val="center"/>
            </w:pPr>
            <w:r>
              <w:rPr>
                <w:rFonts w:hint="eastAsia"/>
                <w:b/>
                <w:sz w:val="24"/>
              </w:rPr>
              <w:t>（编号）</w:t>
            </w:r>
          </w:p>
        </w:tc>
        <w:tc>
          <w:tcPr>
            <w:tcW w:w="1466" w:type="dxa"/>
            <w:vAlign w:val="center"/>
          </w:tcPr>
          <w:p>
            <w:pPr>
              <w:snapToGrid w:val="0"/>
              <w:spacing w:line="320" w:lineRule="exact"/>
              <w:jc w:val="center"/>
              <w:rPr>
                <w:b/>
                <w:sz w:val="24"/>
              </w:rPr>
            </w:pPr>
            <w:r>
              <w:rPr>
                <w:rFonts w:hint="eastAsia"/>
                <w:b/>
                <w:sz w:val="24"/>
              </w:rPr>
              <w:t>污染物</w:t>
            </w:r>
          </w:p>
          <w:p>
            <w:pPr>
              <w:snapToGrid w:val="0"/>
              <w:spacing w:line="320" w:lineRule="exact"/>
              <w:jc w:val="center"/>
            </w:pPr>
            <w:r>
              <w:rPr>
                <w:rFonts w:hint="eastAsia"/>
                <w:b/>
                <w:sz w:val="24"/>
              </w:rPr>
              <w:t>名称</w:t>
            </w:r>
          </w:p>
        </w:tc>
        <w:tc>
          <w:tcPr>
            <w:tcW w:w="2344" w:type="dxa"/>
            <w:vAlign w:val="center"/>
          </w:tcPr>
          <w:p>
            <w:pPr>
              <w:snapToGrid w:val="0"/>
              <w:spacing w:line="320" w:lineRule="exact"/>
              <w:jc w:val="center"/>
            </w:pPr>
            <w:r>
              <w:rPr>
                <w:rFonts w:hint="eastAsia"/>
                <w:b/>
                <w:bCs/>
                <w:sz w:val="24"/>
              </w:rPr>
              <w:t>主要防治措施</w:t>
            </w:r>
          </w:p>
        </w:tc>
        <w:tc>
          <w:tcPr>
            <w:tcW w:w="2772" w:type="dxa"/>
            <w:vAlign w:val="center"/>
          </w:tcPr>
          <w:p>
            <w:pPr>
              <w:snapToGrid w:val="0"/>
              <w:spacing w:line="320" w:lineRule="exact"/>
              <w:jc w:val="center"/>
            </w:pPr>
            <w:r>
              <w:rPr>
                <w:rFonts w:hint="eastAsia"/>
                <w:b/>
                <w:bCs/>
                <w:sz w:val="24"/>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0" w:type="dxa"/>
            <w:vAlign w:val="center"/>
          </w:tcPr>
          <w:p>
            <w:pPr>
              <w:adjustRightInd w:val="0"/>
              <w:snapToGrid w:val="0"/>
              <w:spacing w:line="320" w:lineRule="exact"/>
              <w:jc w:val="center"/>
            </w:pPr>
            <w:r>
              <w:rPr>
                <w:rFonts w:hint="eastAsia"/>
                <w:b/>
                <w:sz w:val="24"/>
              </w:rPr>
              <w:t>水污染物</w:t>
            </w:r>
          </w:p>
        </w:tc>
        <w:tc>
          <w:tcPr>
            <w:tcW w:w="1170" w:type="dxa"/>
            <w:vAlign w:val="center"/>
          </w:tcPr>
          <w:p>
            <w:pPr>
              <w:adjustRightInd w:val="0"/>
              <w:snapToGrid w:val="0"/>
              <w:spacing w:line="320" w:lineRule="exact"/>
              <w:jc w:val="center"/>
            </w:pPr>
            <w:r>
              <w:rPr>
                <w:rFonts w:hint="eastAsia"/>
                <w:sz w:val="24"/>
              </w:rPr>
              <w:t>生活污水</w:t>
            </w:r>
          </w:p>
        </w:tc>
        <w:tc>
          <w:tcPr>
            <w:tcW w:w="1466" w:type="dxa"/>
            <w:vAlign w:val="center"/>
          </w:tcPr>
          <w:p>
            <w:pPr>
              <w:snapToGrid w:val="0"/>
              <w:spacing w:line="320" w:lineRule="exact"/>
              <w:jc w:val="center"/>
              <w:rPr>
                <w:sz w:val="24"/>
              </w:rPr>
            </w:pPr>
            <w:r>
              <w:rPr>
                <w:sz w:val="24"/>
              </w:rPr>
              <w:t>COD</w:t>
            </w:r>
            <w:r>
              <w:rPr>
                <w:rFonts w:hint="eastAsia"/>
                <w:sz w:val="24"/>
                <w:vertAlign w:val="subscript"/>
              </w:rPr>
              <w:t>C</w:t>
            </w:r>
            <w:r>
              <w:rPr>
                <w:sz w:val="24"/>
                <w:vertAlign w:val="subscript"/>
              </w:rPr>
              <w:t>r</w:t>
            </w:r>
          </w:p>
          <w:p>
            <w:pPr>
              <w:snapToGrid w:val="0"/>
              <w:spacing w:line="320" w:lineRule="exact"/>
              <w:jc w:val="center"/>
              <w:rPr>
                <w:sz w:val="24"/>
                <w:vertAlign w:val="subscript"/>
              </w:rPr>
            </w:pPr>
            <w:r>
              <w:rPr>
                <w:sz w:val="24"/>
              </w:rPr>
              <w:t>BOD</w:t>
            </w:r>
            <w:r>
              <w:rPr>
                <w:sz w:val="24"/>
                <w:vertAlign w:val="subscript"/>
              </w:rPr>
              <w:t>5</w:t>
            </w:r>
          </w:p>
          <w:p>
            <w:pPr>
              <w:snapToGrid w:val="0"/>
              <w:spacing w:line="320" w:lineRule="exact"/>
              <w:jc w:val="center"/>
            </w:pPr>
            <w:r>
              <w:rPr>
                <w:sz w:val="24"/>
              </w:rPr>
              <w:t>SS</w:t>
            </w:r>
          </w:p>
          <w:p>
            <w:pPr>
              <w:snapToGrid w:val="0"/>
              <w:spacing w:line="320" w:lineRule="exact"/>
              <w:jc w:val="center"/>
            </w:pPr>
            <w:r>
              <w:rPr>
                <w:rFonts w:hint="eastAsia"/>
                <w:sz w:val="24"/>
              </w:rPr>
              <w:t>氨氮</w:t>
            </w:r>
          </w:p>
        </w:tc>
        <w:tc>
          <w:tcPr>
            <w:tcW w:w="2344" w:type="dxa"/>
            <w:vAlign w:val="center"/>
          </w:tcPr>
          <w:p>
            <w:pPr>
              <w:ind w:left="-94" w:leftChars="-45" w:right="-23" w:rightChars="-11"/>
              <w:jc w:val="center"/>
            </w:pPr>
            <w:r>
              <w:rPr>
                <w:sz w:val="24"/>
              </w:rPr>
              <w:t>三级化粪池</w:t>
            </w:r>
          </w:p>
        </w:tc>
        <w:tc>
          <w:tcPr>
            <w:tcW w:w="2772" w:type="dxa"/>
            <w:vAlign w:val="center"/>
          </w:tcPr>
          <w:p>
            <w:pPr>
              <w:spacing w:line="320" w:lineRule="exact"/>
              <w:jc w:val="center"/>
            </w:pPr>
            <w:r>
              <w:rPr>
                <w:rFonts w:hint="eastAsia"/>
                <w:sz w:val="24"/>
                <w:lang w:val="en-US" w:eastAsia="zh-CN"/>
              </w:rPr>
              <w:t>满足</w:t>
            </w:r>
            <w:r>
              <w:rPr>
                <w:rFonts w:hint="eastAsia"/>
                <w:sz w:val="24"/>
              </w:rPr>
              <w:t>广东省《水污染物排放限值》（</w:t>
            </w:r>
            <w:r>
              <w:rPr>
                <w:sz w:val="24"/>
              </w:rPr>
              <w:t>DB 44/26-2001</w:t>
            </w:r>
            <w:r>
              <w:rPr>
                <w:rFonts w:hint="eastAsia"/>
                <w:sz w:val="24"/>
              </w:rPr>
              <w:t>）（第二时段）三级标准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0" w:type="dxa"/>
            <w:vMerge w:val="restart"/>
            <w:vAlign w:val="center"/>
          </w:tcPr>
          <w:p>
            <w:pPr>
              <w:adjustRightInd w:val="0"/>
              <w:snapToGrid w:val="0"/>
              <w:spacing w:line="320" w:lineRule="exact"/>
              <w:jc w:val="center"/>
            </w:pPr>
            <w:r>
              <w:rPr>
                <w:rFonts w:hint="eastAsia"/>
                <w:b/>
                <w:sz w:val="24"/>
              </w:rPr>
              <w:t>大气污染物</w:t>
            </w:r>
          </w:p>
        </w:tc>
        <w:tc>
          <w:tcPr>
            <w:tcW w:w="1170" w:type="dxa"/>
            <w:vAlign w:val="center"/>
          </w:tcPr>
          <w:p>
            <w:pPr>
              <w:spacing w:line="320" w:lineRule="exact"/>
              <w:jc w:val="center"/>
              <w:rPr>
                <w:sz w:val="24"/>
                <w:szCs w:val="32"/>
              </w:rPr>
            </w:pPr>
            <w:r>
              <w:rPr>
                <w:rFonts w:hint="eastAsia"/>
                <w:sz w:val="24"/>
                <w:szCs w:val="24"/>
              </w:rPr>
              <w:t>喷粉粉尘</w:t>
            </w:r>
          </w:p>
        </w:tc>
        <w:tc>
          <w:tcPr>
            <w:tcW w:w="1466" w:type="dxa"/>
            <w:vAlign w:val="center"/>
          </w:tcPr>
          <w:p>
            <w:pPr>
              <w:snapToGrid w:val="0"/>
              <w:spacing w:line="320" w:lineRule="exact"/>
              <w:jc w:val="center"/>
            </w:pPr>
            <w:r>
              <w:rPr>
                <w:rFonts w:hint="eastAsia"/>
                <w:sz w:val="24"/>
              </w:rPr>
              <w:t>颗粒物</w:t>
            </w:r>
          </w:p>
        </w:tc>
        <w:tc>
          <w:tcPr>
            <w:tcW w:w="2344" w:type="dxa"/>
            <w:vAlign w:val="center"/>
          </w:tcPr>
          <w:p>
            <w:pPr>
              <w:adjustRightInd w:val="0"/>
              <w:ind w:left="-94" w:leftChars="-45" w:right="-23" w:rightChars="-11"/>
              <w:jc w:val="center"/>
            </w:pPr>
            <w:r>
              <w:rPr>
                <w:rFonts w:hint="eastAsia"/>
                <w:sz w:val="24"/>
                <w:lang w:val="en-US" w:eastAsia="zh-CN"/>
              </w:rPr>
              <w:t>经“高密度滤芯过+脉冲反吹清灰”除尘系统</w:t>
            </w:r>
            <w:r>
              <w:rPr>
                <w:sz w:val="24"/>
              </w:rPr>
              <w:t>处理后</w:t>
            </w:r>
            <w:r>
              <w:rPr>
                <w:rFonts w:hint="eastAsia"/>
                <w:sz w:val="24"/>
                <w:lang w:eastAsia="zh-CN"/>
              </w:rPr>
              <w:t>，</w:t>
            </w:r>
            <w:r>
              <w:rPr>
                <w:rFonts w:hint="eastAsia"/>
                <w:sz w:val="24"/>
                <w:lang w:val="en-US" w:eastAsia="zh-CN"/>
              </w:rPr>
              <w:t>通过</w:t>
            </w:r>
            <w:r>
              <w:rPr>
                <w:sz w:val="24"/>
              </w:rPr>
              <w:t>15m高</w:t>
            </w:r>
            <w:r>
              <w:rPr>
                <w:rFonts w:hint="eastAsia"/>
                <w:sz w:val="24"/>
                <w:lang w:val="en-US" w:eastAsia="zh-CN"/>
              </w:rPr>
              <w:t>排气筒排放</w:t>
            </w:r>
          </w:p>
        </w:tc>
        <w:tc>
          <w:tcPr>
            <w:tcW w:w="2772" w:type="dxa"/>
            <w:vAlign w:val="center"/>
          </w:tcPr>
          <w:p>
            <w:pPr>
              <w:jc w:val="center"/>
            </w:pPr>
            <w:r>
              <w:rPr>
                <w:rFonts w:hint="eastAsia"/>
                <w:sz w:val="24"/>
                <w:lang w:val="en-US" w:eastAsia="zh-CN"/>
              </w:rPr>
              <w:t>满足</w:t>
            </w:r>
            <w:r>
              <w:rPr>
                <w:sz w:val="24"/>
              </w:rPr>
              <w:t>广东省《大气污染物排放限值》（DB44/27-2001）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0" w:type="dxa"/>
            <w:vMerge w:val="continue"/>
            <w:vAlign w:val="center"/>
          </w:tcPr>
          <w:p>
            <w:pPr>
              <w:adjustRightInd w:val="0"/>
              <w:snapToGrid w:val="0"/>
              <w:spacing w:line="320" w:lineRule="exact"/>
              <w:jc w:val="center"/>
            </w:pPr>
          </w:p>
        </w:tc>
        <w:tc>
          <w:tcPr>
            <w:tcW w:w="1170" w:type="dxa"/>
            <w:vAlign w:val="center"/>
          </w:tcPr>
          <w:p>
            <w:pPr>
              <w:snapToGrid w:val="0"/>
              <w:jc w:val="center"/>
            </w:pPr>
            <w:r>
              <w:rPr>
                <w:rFonts w:hint="eastAsia"/>
                <w:sz w:val="24"/>
              </w:rPr>
              <w:t>燃烧废气</w:t>
            </w:r>
          </w:p>
        </w:tc>
        <w:tc>
          <w:tcPr>
            <w:tcW w:w="1466" w:type="dxa"/>
            <w:vAlign w:val="center"/>
          </w:tcPr>
          <w:p>
            <w:pPr>
              <w:snapToGrid w:val="0"/>
              <w:spacing w:line="320" w:lineRule="exact"/>
              <w:jc w:val="center"/>
            </w:pPr>
            <w:r>
              <w:rPr>
                <w:rFonts w:hint="eastAsia"/>
                <w:sz w:val="24"/>
                <w:lang w:val="en-US" w:eastAsia="zh-CN"/>
              </w:rPr>
              <w:t>烟尘、</w:t>
            </w:r>
            <w:r>
              <w:rPr>
                <w:rFonts w:hint="eastAsia"/>
                <w:sz w:val="24"/>
              </w:rPr>
              <w:t>SO</w:t>
            </w:r>
            <w:r>
              <w:rPr>
                <w:rFonts w:hint="eastAsia"/>
                <w:sz w:val="24"/>
                <w:vertAlign w:val="subscript"/>
              </w:rPr>
              <w:t>2</w:t>
            </w:r>
            <w:r>
              <w:rPr>
                <w:rFonts w:hint="eastAsia"/>
                <w:sz w:val="24"/>
              </w:rPr>
              <w:t>、NO</w:t>
            </w:r>
            <w:r>
              <w:rPr>
                <w:rFonts w:hint="eastAsia"/>
                <w:sz w:val="24"/>
                <w:vertAlign w:val="subscript"/>
              </w:rPr>
              <w:t>X</w:t>
            </w:r>
          </w:p>
        </w:tc>
        <w:tc>
          <w:tcPr>
            <w:tcW w:w="2344" w:type="dxa"/>
            <w:vAlign w:val="center"/>
          </w:tcPr>
          <w:p>
            <w:pPr>
              <w:snapToGrid w:val="0"/>
              <w:spacing w:line="320" w:lineRule="exact"/>
              <w:jc w:val="center"/>
            </w:pPr>
            <w:r>
              <w:rPr>
                <w:sz w:val="24"/>
              </w:rPr>
              <w:t>15m高</w:t>
            </w:r>
            <w:r>
              <w:rPr>
                <w:rFonts w:hint="eastAsia"/>
                <w:sz w:val="24"/>
                <w:lang w:val="en-US" w:eastAsia="zh-CN"/>
              </w:rPr>
              <w:t>排气筒排放</w:t>
            </w:r>
          </w:p>
        </w:tc>
        <w:tc>
          <w:tcPr>
            <w:tcW w:w="2772" w:type="dxa"/>
            <w:vAlign w:val="center"/>
          </w:tcPr>
          <w:p>
            <w:pPr>
              <w:jc w:val="center"/>
            </w:pPr>
            <w:r>
              <w:rPr>
                <w:rFonts w:hint="eastAsia"/>
                <w:sz w:val="24"/>
                <w:lang w:val="en-US" w:eastAsia="zh-CN"/>
              </w:rPr>
              <w:t>满足</w:t>
            </w:r>
            <w:r>
              <w:rPr>
                <w:rFonts w:hint="eastAsia"/>
                <w:sz w:val="24"/>
              </w:rPr>
              <w:t>广东省《锅炉大气污染物排放标准》（DB 44/765-2019）中新建燃气锅炉标准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0" w:type="dxa"/>
            <w:vMerge w:val="continue"/>
            <w:vAlign w:val="center"/>
          </w:tcPr>
          <w:p>
            <w:pPr>
              <w:adjustRightInd w:val="0"/>
              <w:snapToGrid w:val="0"/>
              <w:spacing w:line="320" w:lineRule="exact"/>
              <w:jc w:val="center"/>
            </w:pPr>
          </w:p>
        </w:tc>
        <w:tc>
          <w:tcPr>
            <w:tcW w:w="1170" w:type="dxa"/>
            <w:vAlign w:val="center"/>
          </w:tcPr>
          <w:p>
            <w:pPr>
              <w:spacing w:line="320" w:lineRule="exact"/>
              <w:jc w:val="center"/>
            </w:pPr>
            <w:r>
              <w:rPr>
                <w:rFonts w:hint="eastAsia"/>
                <w:sz w:val="24"/>
                <w:lang w:val="en-US" w:eastAsia="zh-CN"/>
              </w:rPr>
              <w:t>固化</w:t>
            </w:r>
            <w:r>
              <w:rPr>
                <w:rFonts w:hint="eastAsia"/>
                <w:sz w:val="24"/>
              </w:rPr>
              <w:t>废气</w:t>
            </w:r>
          </w:p>
        </w:tc>
        <w:tc>
          <w:tcPr>
            <w:tcW w:w="1466" w:type="dxa"/>
            <w:vAlign w:val="center"/>
          </w:tcPr>
          <w:p>
            <w:pPr>
              <w:snapToGrid w:val="0"/>
              <w:spacing w:line="320" w:lineRule="exact"/>
              <w:jc w:val="center"/>
            </w:pPr>
            <w:r>
              <w:rPr>
                <w:sz w:val="24"/>
              </w:rPr>
              <w:t>VOCs</w:t>
            </w:r>
          </w:p>
        </w:tc>
        <w:tc>
          <w:tcPr>
            <w:tcW w:w="2344" w:type="dxa"/>
            <w:vAlign w:val="center"/>
          </w:tcPr>
          <w:p>
            <w:pPr>
              <w:adjustRightInd w:val="0"/>
              <w:ind w:left="-94" w:leftChars="-45" w:right="-23" w:rightChars="-11"/>
              <w:jc w:val="center"/>
              <w:rPr>
                <w:rFonts w:hint="default" w:eastAsia="宋体"/>
                <w:lang w:val="en-US" w:eastAsia="zh-CN"/>
              </w:rPr>
            </w:pPr>
            <w:r>
              <w:rPr>
                <w:rFonts w:hint="eastAsia"/>
                <w:sz w:val="24"/>
                <w:lang w:val="en-US" w:eastAsia="zh-CN"/>
              </w:rPr>
              <w:t>集中收集至“水喷淋+</w:t>
            </w:r>
            <w:r>
              <w:rPr>
                <w:sz w:val="24"/>
              </w:rPr>
              <w:t>UV光解+活性炭吸附</w:t>
            </w:r>
            <w:r>
              <w:rPr>
                <w:rFonts w:hint="eastAsia"/>
                <w:sz w:val="24"/>
                <w:lang w:val="en-US" w:eastAsia="zh-CN"/>
              </w:rPr>
              <w:t>装置”</w:t>
            </w:r>
            <w:r>
              <w:rPr>
                <w:sz w:val="24"/>
              </w:rPr>
              <w:t>处理后</w:t>
            </w:r>
            <w:r>
              <w:rPr>
                <w:rFonts w:hint="eastAsia"/>
                <w:sz w:val="24"/>
                <w:lang w:eastAsia="zh-CN"/>
              </w:rPr>
              <w:t>，</w:t>
            </w:r>
            <w:r>
              <w:rPr>
                <w:rFonts w:hint="eastAsia"/>
                <w:sz w:val="24"/>
                <w:lang w:val="en-US" w:eastAsia="zh-CN"/>
              </w:rPr>
              <w:t>经</w:t>
            </w:r>
            <w:r>
              <w:rPr>
                <w:sz w:val="24"/>
              </w:rPr>
              <w:t>15m高</w:t>
            </w:r>
            <w:r>
              <w:rPr>
                <w:rFonts w:hint="eastAsia"/>
                <w:sz w:val="24"/>
                <w:lang w:val="en-US" w:eastAsia="zh-CN"/>
              </w:rPr>
              <w:t>排气筒排放</w:t>
            </w:r>
          </w:p>
        </w:tc>
        <w:tc>
          <w:tcPr>
            <w:tcW w:w="2772" w:type="dxa"/>
            <w:vAlign w:val="center"/>
          </w:tcPr>
          <w:p>
            <w:pPr>
              <w:ind w:right="-23" w:rightChars="-11"/>
              <w:jc w:val="center"/>
            </w:pPr>
            <w:r>
              <w:rPr>
                <w:rFonts w:hint="eastAsia"/>
                <w:sz w:val="24"/>
                <w:lang w:val="en-US" w:eastAsia="zh-CN"/>
              </w:rPr>
              <w:t>满足广东省《家具制造行业挥发性有机化合物排放标准》（DB44/814-2010）第Ⅱ时段限值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0" w:type="dxa"/>
            <w:vMerge w:val="restart"/>
            <w:vAlign w:val="center"/>
          </w:tcPr>
          <w:p>
            <w:pPr>
              <w:adjustRightInd w:val="0"/>
              <w:snapToGrid w:val="0"/>
              <w:spacing w:line="320" w:lineRule="exact"/>
              <w:jc w:val="center"/>
            </w:pPr>
            <w:r>
              <w:rPr>
                <w:rFonts w:hint="eastAsia"/>
                <w:b/>
                <w:sz w:val="24"/>
              </w:rPr>
              <w:t>固体废物</w:t>
            </w:r>
          </w:p>
        </w:tc>
        <w:tc>
          <w:tcPr>
            <w:tcW w:w="1170" w:type="dxa"/>
            <w:vAlign w:val="center"/>
          </w:tcPr>
          <w:p>
            <w:pPr>
              <w:widowControl/>
              <w:ind w:left="-103" w:leftChars="-49" w:right="-94" w:rightChars="-45"/>
              <w:jc w:val="center"/>
            </w:pPr>
            <w:r>
              <w:rPr>
                <w:sz w:val="24"/>
              </w:rPr>
              <w:t>员工生活</w:t>
            </w:r>
          </w:p>
        </w:tc>
        <w:tc>
          <w:tcPr>
            <w:tcW w:w="1466" w:type="dxa"/>
            <w:vAlign w:val="center"/>
          </w:tcPr>
          <w:p>
            <w:pPr>
              <w:widowControl/>
              <w:snapToGrid w:val="0"/>
              <w:jc w:val="center"/>
            </w:pPr>
            <w:r>
              <w:rPr>
                <w:sz w:val="24"/>
              </w:rPr>
              <w:t>生活垃圾</w:t>
            </w:r>
          </w:p>
        </w:tc>
        <w:tc>
          <w:tcPr>
            <w:tcW w:w="2344" w:type="dxa"/>
            <w:vAlign w:val="center"/>
          </w:tcPr>
          <w:p>
            <w:pPr>
              <w:adjustRightInd w:val="0"/>
              <w:snapToGrid w:val="0"/>
              <w:ind w:left="-94" w:leftChars="-45" w:right="-23" w:rightChars="-11"/>
              <w:jc w:val="center"/>
            </w:pPr>
            <w:r>
              <w:rPr>
                <w:sz w:val="24"/>
              </w:rPr>
              <w:t>环卫部门统一回收，集中处理</w:t>
            </w:r>
          </w:p>
        </w:tc>
        <w:tc>
          <w:tcPr>
            <w:tcW w:w="2772" w:type="dxa"/>
            <w:vMerge w:val="restart"/>
            <w:vAlign w:val="center"/>
          </w:tcPr>
          <w:p>
            <w:pPr>
              <w:spacing w:line="320" w:lineRule="exact"/>
              <w:jc w:val="center"/>
            </w:pPr>
            <w:r>
              <w:rPr>
                <w:rFonts w:hint="eastAsia"/>
                <w:sz w:val="24"/>
                <w:lang w:val="en-US" w:eastAsia="zh-CN"/>
              </w:rPr>
              <w:t>不自行排放，</w:t>
            </w:r>
            <w:r>
              <w:rPr>
                <w:sz w:val="24"/>
              </w:rPr>
              <w:t>不会对周围环境造成明显影响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770" w:type="dxa"/>
            <w:vMerge w:val="continue"/>
            <w:vAlign w:val="center"/>
          </w:tcPr>
          <w:p>
            <w:pPr>
              <w:jc w:val="center"/>
            </w:pPr>
          </w:p>
        </w:tc>
        <w:tc>
          <w:tcPr>
            <w:tcW w:w="1170" w:type="dxa"/>
            <w:vMerge w:val="restart"/>
            <w:vAlign w:val="center"/>
          </w:tcPr>
          <w:p>
            <w:pPr>
              <w:widowControl/>
              <w:ind w:left="-103" w:leftChars="-49" w:right="-94" w:rightChars="-45"/>
              <w:jc w:val="center"/>
            </w:pPr>
            <w:r>
              <w:rPr>
                <w:sz w:val="24"/>
              </w:rPr>
              <w:t>一般工业固废</w:t>
            </w:r>
          </w:p>
        </w:tc>
        <w:tc>
          <w:tcPr>
            <w:tcW w:w="1466" w:type="dxa"/>
            <w:vAlign w:val="center"/>
          </w:tcPr>
          <w:p>
            <w:pPr>
              <w:widowControl/>
              <w:snapToGrid w:val="0"/>
              <w:jc w:val="center"/>
            </w:pPr>
            <w:r>
              <w:rPr>
                <w:rFonts w:hint="eastAsia"/>
                <w:kern w:val="24"/>
                <w:sz w:val="24"/>
              </w:rPr>
              <w:t>包装废物</w:t>
            </w:r>
          </w:p>
        </w:tc>
        <w:tc>
          <w:tcPr>
            <w:tcW w:w="2344" w:type="dxa"/>
            <w:vAlign w:val="center"/>
          </w:tcPr>
          <w:p>
            <w:pPr>
              <w:adjustRightInd w:val="0"/>
              <w:snapToGrid w:val="0"/>
              <w:ind w:left="-94" w:leftChars="-45" w:right="-23" w:rightChars="-11"/>
              <w:jc w:val="center"/>
            </w:pPr>
            <w:r>
              <w:rPr>
                <w:sz w:val="24"/>
              </w:rPr>
              <w:t>外卖给</w:t>
            </w:r>
            <w:r>
              <w:rPr>
                <w:rFonts w:hint="eastAsia"/>
                <w:sz w:val="24"/>
              </w:rPr>
              <w:t>回收公司回收处理</w:t>
            </w:r>
          </w:p>
        </w:tc>
        <w:tc>
          <w:tcPr>
            <w:tcW w:w="2772"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770" w:type="dxa"/>
            <w:vMerge w:val="continue"/>
            <w:vAlign w:val="center"/>
          </w:tcPr>
          <w:p>
            <w:pPr>
              <w:adjustRightInd w:val="0"/>
              <w:snapToGrid w:val="0"/>
              <w:ind w:left="-94" w:leftChars="-45" w:right="-23" w:rightChars="-11"/>
              <w:jc w:val="center"/>
            </w:pPr>
          </w:p>
        </w:tc>
        <w:tc>
          <w:tcPr>
            <w:tcW w:w="1170" w:type="dxa"/>
            <w:vMerge w:val="continue"/>
            <w:vAlign w:val="center"/>
          </w:tcPr>
          <w:p>
            <w:pPr>
              <w:adjustRightInd w:val="0"/>
              <w:snapToGrid w:val="0"/>
              <w:ind w:left="-94" w:leftChars="-45" w:right="-23" w:rightChars="-11"/>
              <w:jc w:val="center"/>
            </w:pPr>
          </w:p>
        </w:tc>
        <w:tc>
          <w:tcPr>
            <w:tcW w:w="1466" w:type="dxa"/>
            <w:vAlign w:val="center"/>
          </w:tcPr>
          <w:p>
            <w:pPr>
              <w:adjustRightInd w:val="0"/>
              <w:snapToGrid w:val="0"/>
              <w:ind w:left="-94" w:leftChars="-45" w:right="-23" w:rightChars="-11"/>
              <w:jc w:val="center"/>
              <w:rPr>
                <w:kern w:val="24"/>
                <w:sz w:val="24"/>
              </w:rPr>
            </w:pPr>
            <w:r>
              <w:rPr>
                <w:kern w:val="24"/>
                <w:sz w:val="24"/>
              </w:rPr>
              <w:t>原料空桶</w:t>
            </w:r>
          </w:p>
        </w:tc>
        <w:tc>
          <w:tcPr>
            <w:tcW w:w="2344" w:type="dxa"/>
            <w:vAlign w:val="center"/>
          </w:tcPr>
          <w:p>
            <w:pPr>
              <w:adjustRightInd w:val="0"/>
              <w:snapToGrid w:val="0"/>
              <w:ind w:left="-94" w:leftChars="-45" w:right="-23" w:rightChars="-11"/>
              <w:jc w:val="center"/>
              <w:rPr>
                <w:kern w:val="24"/>
                <w:sz w:val="24"/>
              </w:rPr>
            </w:pPr>
            <w:r>
              <w:rPr>
                <w:rFonts w:hint="eastAsia"/>
                <w:sz w:val="24"/>
              </w:rPr>
              <w:t>不属于有固体废物，</w:t>
            </w:r>
            <w:r>
              <w:rPr>
                <w:sz w:val="24"/>
              </w:rPr>
              <w:t>交由厂家回收再利用</w:t>
            </w:r>
          </w:p>
        </w:tc>
        <w:tc>
          <w:tcPr>
            <w:tcW w:w="2772" w:type="dxa"/>
            <w:vMerge w:val="continue"/>
            <w:vAlign w:val="center"/>
          </w:tcPr>
          <w:p>
            <w:pPr>
              <w:adjustRightInd w:val="0"/>
              <w:snapToGrid w:val="0"/>
              <w:ind w:left="-94" w:leftChars="-45" w:right="-23" w:rightChars="-11"/>
              <w:jc w:val="center"/>
              <w:rPr>
                <w:kern w:val="24"/>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1" w:hRule="atLeast"/>
        </w:trPr>
        <w:tc>
          <w:tcPr>
            <w:tcW w:w="770" w:type="dxa"/>
            <w:vMerge w:val="continue"/>
            <w:vAlign w:val="center"/>
          </w:tcPr>
          <w:p>
            <w:pPr>
              <w:jc w:val="center"/>
            </w:pPr>
          </w:p>
        </w:tc>
        <w:tc>
          <w:tcPr>
            <w:tcW w:w="1170" w:type="dxa"/>
            <w:vMerge w:val="restart"/>
            <w:vAlign w:val="center"/>
          </w:tcPr>
          <w:p>
            <w:pPr>
              <w:snapToGrid w:val="0"/>
              <w:jc w:val="center"/>
            </w:pPr>
            <w:r>
              <w:rPr>
                <w:rFonts w:hint="eastAsia"/>
                <w:sz w:val="24"/>
              </w:rPr>
              <w:t>危险废物</w:t>
            </w:r>
          </w:p>
        </w:tc>
        <w:tc>
          <w:tcPr>
            <w:tcW w:w="1466" w:type="dxa"/>
            <w:vAlign w:val="center"/>
          </w:tcPr>
          <w:p>
            <w:pPr>
              <w:snapToGrid w:val="0"/>
              <w:jc w:val="center"/>
            </w:pPr>
            <w:r>
              <w:rPr>
                <w:rFonts w:hint="eastAsia"/>
                <w:bCs/>
                <w:sz w:val="24"/>
              </w:rPr>
              <w:t>废UV灯管</w:t>
            </w:r>
          </w:p>
        </w:tc>
        <w:tc>
          <w:tcPr>
            <w:tcW w:w="2344" w:type="dxa"/>
            <w:vMerge w:val="restart"/>
            <w:vAlign w:val="center"/>
          </w:tcPr>
          <w:p>
            <w:pPr>
              <w:adjustRightInd w:val="0"/>
              <w:snapToGrid w:val="0"/>
              <w:ind w:left="-94" w:leftChars="-45" w:right="-23" w:rightChars="-11"/>
              <w:jc w:val="center"/>
            </w:pPr>
            <w:r>
              <w:rPr>
                <w:kern w:val="24"/>
                <w:sz w:val="24"/>
              </w:rPr>
              <w:t>交由有资质的单位回收处理</w:t>
            </w:r>
          </w:p>
        </w:tc>
        <w:tc>
          <w:tcPr>
            <w:tcW w:w="2772"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1" w:hRule="atLeast"/>
        </w:trPr>
        <w:tc>
          <w:tcPr>
            <w:tcW w:w="770" w:type="dxa"/>
            <w:vMerge w:val="continue"/>
            <w:vAlign w:val="center"/>
          </w:tcPr>
          <w:p>
            <w:pPr>
              <w:jc w:val="center"/>
            </w:pPr>
          </w:p>
        </w:tc>
        <w:tc>
          <w:tcPr>
            <w:tcW w:w="1170" w:type="dxa"/>
            <w:vMerge w:val="continue"/>
            <w:vAlign w:val="center"/>
          </w:tcPr>
          <w:p>
            <w:pPr>
              <w:jc w:val="center"/>
            </w:pPr>
          </w:p>
        </w:tc>
        <w:tc>
          <w:tcPr>
            <w:tcW w:w="1466" w:type="dxa"/>
            <w:vAlign w:val="center"/>
          </w:tcPr>
          <w:p>
            <w:pPr>
              <w:jc w:val="center"/>
            </w:pPr>
            <w:r>
              <w:rPr>
                <w:sz w:val="24"/>
              </w:rPr>
              <w:t>废活性炭</w:t>
            </w:r>
          </w:p>
        </w:tc>
        <w:tc>
          <w:tcPr>
            <w:tcW w:w="2344" w:type="dxa"/>
            <w:vMerge w:val="continue"/>
            <w:vAlign w:val="center"/>
          </w:tcPr>
          <w:p>
            <w:pPr>
              <w:jc w:val="center"/>
            </w:pPr>
          </w:p>
        </w:tc>
        <w:tc>
          <w:tcPr>
            <w:tcW w:w="2772"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0" w:type="dxa"/>
            <w:vAlign w:val="center"/>
          </w:tcPr>
          <w:p>
            <w:pPr>
              <w:adjustRightInd w:val="0"/>
              <w:snapToGrid w:val="0"/>
              <w:spacing w:line="320" w:lineRule="exact"/>
              <w:jc w:val="center"/>
            </w:pPr>
            <w:r>
              <w:rPr>
                <w:rFonts w:hint="eastAsia"/>
                <w:b/>
                <w:sz w:val="24"/>
              </w:rPr>
              <w:t>噪声</w:t>
            </w:r>
          </w:p>
        </w:tc>
        <w:tc>
          <w:tcPr>
            <w:tcW w:w="1170" w:type="dxa"/>
            <w:vAlign w:val="center"/>
          </w:tcPr>
          <w:p>
            <w:pPr>
              <w:ind w:left="-103" w:leftChars="-49" w:right="-94" w:rightChars="-45"/>
              <w:jc w:val="center"/>
            </w:pPr>
            <w:r>
              <w:rPr>
                <w:sz w:val="24"/>
              </w:rPr>
              <w:t>营运期噪声</w:t>
            </w:r>
          </w:p>
        </w:tc>
        <w:tc>
          <w:tcPr>
            <w:tcW w:w="1466" w:type="dxa"/>
            <w:vAlign w:val="center"/>
          </w:tcPr>
          <w:p>
            <w:pPr>
              <w:adjustRightInd w:val="0"/>
              <w:ind w:left="-34" w:leftChars="-16" w:right="-94" w:rightChars="-45"/>
              <w:jc w:val="center"/>
            </w:pPr>
            <w:r>
              <w:rPr>
                <w:sz w:val="24"/>
              </w:rPr>
              <w:t>生产设备等噪声</w:t>
            </w:r>
          </w:p>
        </w:tc>
        <w:tc>
          <w:tcPr>
            <w:tcW w:w="2344" w:type="dxa"/>
            <w:vAlign w:val="center"/>
          </w:tcPr>
          <w:p>
            <w:pPr>
              <w:adjustRightInd w:val="0"/>
              <w:ind w:left="-94" w:leftChars="-45" w:right="-23" w:rightChars="-11"/>
              <w:jc w:val="center"/>
            </w:pPr>
            <w:r>
              <w:rPr>
                <w:sz w:val="24"/>
              </w:rPr>
              <w:t>选用低噪音设备，优化厂区平面布置，对生产设备做好消声、隔音和减振，加强管理等综合治理措施</w:t>
            </w:r>
          </w:p>
        </w:tc>
        <w:tc>
          <w:tcPr>
            <w:tcW w:w="2772" w:type="dxa"/>
            <w:vAlign w:val="center"/>
          </w:tcPr>
          <w:p>
            <w:pPr>
              <w:ind w:left="-40" w:leftChars="-19" w:right="-15" w:rightChars="-7"/>
              <w:jc w:val="center"/>
            </w:pPr>
            <w:r>
              <w:rPr>
                <w:sz w:val="24"/>
              </w:rPr>
              <w:t>达到《工业企业厂界环境噪声排放标准》（GB12348-2008）</w:t>
            </w:r>
            <w:r>
              <w:rPr>
                <w:rFonts w:hint="eastAsia"/>
                <w:sz w:val="24"/>
              </w:rPr>
              <w:t>2</w:t>
            </w:r>
            <w:r>
              <w:rPr>
                <w:sz w:val="24"/>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0" w:type="dxa"/>
            <w:vAlign w:val="center"/>
          </w:tcPr>
          <w:p>
            <w:pPr>
              <w:adjustRightInd w:val="0"/>
              <w:snapToGrid w:val="0"/>
              <w:spacing w:line="320" w:lineRule="exact"/>
              <w:jc w:val="center"/>
              <w:rPr>
                <w:b/>
                <w:sz w:val="24"/>
              </w:rPr>
            </w:pPr>
            <w:r>
              <w:rPr>
                <w:rFonts w:hint="eastAsia"/>
                <w:b/>
                <w:sz w:val="24"/>
              </w:rPr>
              <w:t>其</w:t>
            </w:r>
          </w:p>
          <w:p>
            <w:pPr>
              <w:adjustRightInd w:val="0"/>
              <w:snapToGrid w:val="0"/>
              <w:spacing w:line="320" w:lineRule="exact"/>
              <w:jc w:val="center"/>
            </w:pPr>
            <w:r>
              <w:rPr>
                <w:rFonts w:hint="eastAsia"/>
                <w:b/>
                <w:sz w:val="24"/>
              </w:rPr>
              <w:t>他</w:t>
            </w:r>
          </w:p>
        </w:tc>
        <w:tc>
          <w:tcPr>
            <w:tcW w:w="7752" w:type="dxa"/>
            <w:gridSpan w:val="4"/>
            <w:vAlign w:val="center"/>
          </w:tcPr>
          <w:p>
            <w:pPr>
              <w:adjustRightInd w:val="0"/>
              <w:snapToGrid w:val="0"/>
              <w:spacing w:line="320" w:lineRule="exact"/>
              <w:jc w:val="center"/>
            </w:pPr>
            <w:r>
              <w:rPr>
                <w:rFonts w:hint="eastAsia"/>
                <w:sz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5"/>
          </w:tcPr>
          <w:p>
            <w:pPr>
              <w:pStyle w:val="2"/>
              <w:spacing w:before="0" w:after="0" w:line="360" w:lineRule="auto"/>
              <w:outlineLvl w:val="0"/>
              <w:rPr>
                <w:b w:val="0"/>
                <w:sz w:val="28"/>
              </w:rPr>
            </w:pPr>
            <w:r>
              <w:rPr>
                <w:rFonts w:hint="eastAsia"/>
                <w:caps/>
                <w:sz w:val="28"/>
              </w:rPr>
              <w:t>生态保护措施及预期效果：</w:t>
            </w:r>
            <w:r>
              <w:rPr>
                <w:rFonts w:hint="eastAsia"/>
                <w:sz w:val="30"/>
              </w:rPr>
              <w:t>（不够时可附另页）：</w:t>
            </w:r>
          </w:p>
          <w:p>
            <w:pPr>
              <w:spacing w:line="360" w:lineRule="auto"/>
              <w:ind w:firstLine="480" w:firstLineChars="200"/>
            </w:pPr>
            <w:r>
              <w:rPr>
                <w:sz w:val="24"/>
              </w:rPr>
              <w:t>按上述措施对各种污染物进行有效的治理，可降低其对周围生态环境的影响，本项目生产过程中产生的废气、废水、噪声、固废等经过治理后，对该地区原有的城市生态环境影响轻微。</w:t>
            </w:r>
          </w:p>
        </w:tc>
      </w:tr>
    </w:tbl>
    <w:p/>
    <w:p>
      <w:pPr>
        <w:sectPr>
          <w:pgSz w:w="11906" w:h="16838"/>
          <w:pgMar w:top="1440" w:right="1800" w:bottom="1440" w:left="1800" w:header="851" w:footer="992" w:gutter="0"/>
          <w:pgNumType w:fmt="decimal"/>
          <w:cols w:space="425" w:num="1"/>
          <w:docGrid w:type="lines" w:linePitch="312" w:charSpace="0"/>
        </w:sectPr>
      </w:pPr>
    </w:p>
    <w:p>
      <w:pPr>
        <w:spacing w:line="360" w:lineRule="auto"/>
      </w:pPr>
      <w:r>
        <w:rPr>
          <w:rFonts w:hint="eastAsia"/>
          <w:b/>
          <w:bCs/>
          <w:sz w:val="30"/>
        </w:rPr>
        <w:t>结论与建议</w:t>
      </w: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41" w:hRule="atLeast"/>
        </w:trPr>
        <w:tc>
          <w:tcPr>
            <w:tcW w:w="8522" w:type="dxa"/>
          </w:tcPr>
          <w:p>
            <w:pPr>
              <w:numPr>
                <w:ilvl w:val="0"/>
                <w:numId w:val="11"/>
              </w:numPr>
              <w:spacing w:line="360" w:lineRule="auto"/>
              <w:rPr>
                <w:b/>
                <w:sz w:val="24"/>
              </w:rPr>
            </w:pPr>
            <w:r>
              <w:rPr>
                <w:b/>
                <w:sz w:val="24"/>
              </w:rPr>
              <w:t>建设项目概况</w:t>
            </w:r>
          </w:p>
          <w:p>
            <w:pPr>
              <w:pStyle w:val="8"/>
              <w:snapToGrid/>
              <w:ind w:firstLine="480"/>
              <w:rPr>
                <w:rFonts w:ascii="Times New Roman"/>
                <w:sz w:val="24"/>
                <w:szCs w:val="24"/>
              </w:rPr>
            </w:pPr>
            <w:r>
              <w:rPr>
                <w:rFonts w:ascii="Times New Roman"/>
                <w:sz w:val="24"/>
              </w:rPr>
              <w:t>广州昇宏五金制品有限公司建设项目</w:t>
            </w:r>
            <w:r>
              <w:rPr>
                <w:rFonts w:ascii="Times New Roman"/>
                <w:sz w:val="24"/>
                <w:szCs w:val="24"/>
              </w:rPr>
              <w:t>租用</w:t>
            </w:r>
            <w:r>
              <w:rPr>
                <w:rFonts w:ascii="Times New Roman"/>
                <w:sz w:val="24"/>
              </w:rPr>
              <w:t>广州市白云区人和镇西湖村西湖西街54号</w:t>
            </w:r>
            <w:r>
              <w:rPr>
                <w:rFonts w:ascii="Times New Roman"/>
                <w:sz w:val="24"/>
                <w:szCs w:val="24"/>
              </w:rPr>
              <w:t>进行生产经营，主要经营范围为电脑机箱五金件的加工，主要建筑物为1栋单层生产车间，占地面积1000平方米，建筑面积1000平方米，总投资100万元，其中环保投资20万元。</w:t>
            </w:r>
            <w:r>
              <w:rPr>
                <w:rFonts w:ascii="Times New Roman"/>
                <w:sz w:val="24"/>
              </w:rPr>
              <w:t>项目主要以树脂粉末、五金件等为原料，通过挂件、预热、喷粉、烘干等工序进行五金件喷涂加工生产，预计</w:t>
            </w:r>
            <w:r>
              <w:rPr>
                <w:rFonts w:hint="eastAsia" w:ascii="Times New Roman"/>
                <w:bCs/>
                <w:sz w:val="24"/>
              </w:rPr>
              <w:t>年喷粉五金件约为100吨</w:t>
            </w:r>
            <w:r>
              <w:rPr>
                <w:rFonts w:ascii="Times New Roman"/>
                <w:sz w:val="24"/>
                <w:szCs w:val="24"/>
              </w:rPr>
              <w:t>。</w:t>
            </w:r>
            <w:r>
              <w:rPr>
                <w:rFonts w:ascii="Times New Roman"/>
                <w:bCs/>
                <w:sz w:val="24"/>
              </w:rPr>
              <w:t>项目拟</w:t>
            </w:r>
            <w:r>
              <w:rPr>
                <w:rStyle w:val="19"/>
                <w:rFonts w:ascii="Times New Roman"/>
                <w:kern w:val="0"/>
                <w:sz w:val="24"/>
                <w:szCs w:val="24"/>
              </w:rPr>
              <w:t>设</w:t>
            </w:r>
            <w:r>
              <w:rPr>
                <w:rFonts w:ascii="Times New Roman"/>
                <w:sz w:val="24"/>
              </w:rPr>
              <w:t>员工25人，均不在厂内食宿，年生产300天，每天一班制，一班8小时。本项目不设备用柴油发电机、冷却塔、锅炉和中央空调等</w:t>
            </w:r>
            <w:r>
              <w:rPr>
                <w:rFonts w:ascii="Times New Roman"/>
                <w:sz w:val="24"/>
                <w:szCs w:val="24"/>
              </w:rPr>
              <w:t>。</w:t>
            </w:r>
          </w:p>
          <w:p>
            <w:pPr>
              <w:numPr>
                <w:ilvl w:val="0"/>
                <w:numId w:val="12"/>
              </w:numPr>
              <w:spacing w:line="360" w:lineRule="auto"/>
              <w:rPr>
                <w:b/>
                <w:sz w:val="24"/>
              </w:rPr>
            </w:pPr>
            <w:r>
              <w:rPr>
                <w:b/>
                <w:sz w:val="24"/>
              </w:rPr>
              <w:t>项目周围环境质量现状评价结论</w:t>
            </w:r>
          </w:p>
          <w:p>
            <w:pPr>
              <w:pStyle w:val="8"/>
              <w:snapToGrid/>
              <w:ind w:firstLine="482"/>
              <w:rPr>
                <w:rFonts w:ascii="Times New Roman"/>
                <w:b/>
                <w:bCs/>
                <w:sz w:val="24"/>
              </w:rPr>
            </w:pPr>
            <w:r>
              <w:rPr>
                <w:rFonts w:ascii="Times New Roman"/>
                <w:b/>
                <w:bCs/>
                <w:sz w:val="24"/>
              </w:rPr>
              <w:t>1、环境空气质量现状</w:t>
            </w:r>
          </w:p>
          <w:p>
            <w:pPr>
              <w:spacing w:line="360" w:lineRule="auto"/>
              <w:ind w:firstLine="480" w:firstLineChars="200"/>
              <w:rPr>
                <w:color w:val="000000"/>
                <w:sz w:val="32"/>
                <w:szCs w:val="32"/>
              </w:rPr>
            </w:pPr>
            <w:r>
              <w:rPr>
                <w:color w:val="auto"/>
                <w:sz w:val="24"/>
                <w:szCs w:val="32"/>
              </w:rPr>
              <w:t>根据《环境影响评价技术导则-大气环境》（HJ2.2-2018），城市环境空气质量达标情况评价指标为SO</w:t>
            </w:r>
            <w:r>
              <w:rPr>
                <w:color w:val="auto"/>
                <w:sz w:val="24"/>
                <w:szCs w:val="32"/>
                <w:vertAlign w:val="subscript"/>
              </w:rPr>
              <w:t>2</w:t>
            </w:r>
            <w:r>
              <w:rPr>
                <w:color w:val="auto"/>
                <w:sz w:val="24"/>
                <w:szCs w:val="32"/>
              </w:rPr>
              <w:t>、NO</w:t>
            </w:r>
            <w:r>
              <w:rPr>
                <w:color w:val="auto"/>
                <w:sz w:val="24"/>
                <w:szCs w:val="32"/>
                <w:vertAlign w:val="subscript"/>
              </w:rPr>
              <w:t>2</w:t>
            </w:r>
            <w:r>
              <w:rPr>
                <w:color w:val="auto"/>
                <w:sz w:val="24"/>
                <w:szCs w:val="32"/>
              </w:rPr>
              <w:t>、PM</w:t>
            </w:r>
            <w:r>
              <w:rPr>
                <w:color w:val="auto"/>
                <w:sz w:val="24"/>
                <w:szCs w:val="32"/>
                <w:vertAlign w:val="subscript"/>
              </w:rPr>
              <w:t>10</w:t>
            </w:r>
            <w:r>
              <w:rPr>
                <w:color w:val="auto"/>
                <w:sz w:val="24"/>
                <w:szCs w:val="32"/>
              </w:rPr>
              <w:t>、PM</w:t>
            </w:r>
            <w:r>
              <w:rPr>
                <w:color w:val="auto"/>
                <w:sz w:val="24"/>
                <w:szCs w:val="32"/>
                <w:vertAlign w:val="subscript"/>
              </w:rPr>
              <w:t>2.5</w:t>
            </w:r>
            <w:r>
              <w:rPr>
                <w:color w:val="auto"/>
                <w:sz w:val="24"/>
                <w:szCs w:val="32"/>
              </w:rPr>
              <w:t>、CO、O</w:t>
            </w:r>
            <w:r>
              <w:rPr>
                <w:color w:val="auto"/>
                <w:sz w:val="24"/>
                <w:szCs w:val="32"/>
                <w:vertAlign w:val="subscript"/>
              </w:rPr>
              <w:t>3</w:t>
            </w:r>
            <w:r>
              <w:rPr>
                <w:color w:val="auto"/>
                <w:sz w:val="24"/>
                <w:szCs w:val="32"/>
              </w:rPr>
              <w:t>，六项污染物全部达标即为城市环境空气质量达标。根据</w:t>
            </w:r>
            <w:r>
              <w:rPr>
                <w:rFonts w:hint="eastAsia"/>
                <w:kern w:val="0"/>
                <w:sz w:val="24"/>
              </w:rPr>
              <w:t>《201</w:t>
            </w:r>
            <w:r>
              <w:rPr>
                <w:kern w:val="0"/>
                <w:sz w:val="24"/>
              </w:rPr>
              <w:t>8</w:t>
            </w:r>
            <w:r>
              <w:rPr>
                <w:rFonts w:hint="eastAsia"/>
                <w:kern w:val="0"/>
                <w:sz w:val="24"/>
              </w:rPr>
              <w:t>年广州市环境质量状况公报》</w:t>
            </w:r>
            <w:r>
              <w:rPr>
                <w:color w:val="auto"/>
                <w:sz w:val="24"/>
                <w:szCs w:val="32"/>
              </w:rPr>
              <w:t>监测结果，监测项目中NO</w:t>
            </w:r>
            <w:r>
              <w:rPr>
                <w:color w:val="auto"/>
                <w:sz w:val="24"/>
                <w:szCs w:val="32"/>
                <w:vertAlign w:val="subscript"/>
              </w:rPr>
              <w:t>2</w:t>
            </w:r>
            <w:r>
              <w:rPr>
                <w:color w:val="auto"/>
                <w:sz w:val="24"/>
                <w:szCs w:val="32"/>
              </w:rPr>
              <w:t>的年均浓度值不符合《环境空气质量标准》（GB3095-2012）二级标准。因此，项目所在区域为不达标区域</w:t>
            </w:r>
            <w:r>
              <w:rPr>
                <w:color w:val="000000"/>
                <w:sz w:val="32"/>
                <w:szCs w:val="32"/>
              </w:rPr>
              <w:t>。</w:t>
            </w:r>
          </w:p>
          <w:p>
            <w:pPr>
              <w:pStyle w:val="8"/>
              <w:snapToGrid/>
              <w:ind w:firstLine="482"/>
              <w:rPr>
                <w:rFonts w:ascii="Times New Roman"/>
                <w:b/>
                <w:bCs/>
                <w:sz w:val="24"/>
              </w:rPr>
            </w:pPr>
            <w:r>
              <w:rPr>
                <w:rFonts w:ascii="Times New Roman"/>
                <w:b/>
                <w:bCs/>
                <w:sz w:val="24"/>
              </w:rPr>
              <w:t>2、地表水环境质量现状</w:t>
            </w:r>
          </w:p>
          <w:p>
            <w:pPr>
              <w:adjustRightInd w:val="0"/>
              <w:snapToGrid w:val="0"/>
              <w:spacing w:line="360" w:lineRule="auto"/>
              <w:ind w:firstLine="480" w:firstLineChars="200"/>
              <w:rPr>
                <w:sz w:val="24"/>
              </w:rPr>
            </w:pPr>
            <w:r>
              <w:rPr>
                <w:rFonts w:hint="eastAsia"/>
                <w:sz w:val="24"/>
              </w:rPr>
              <w:t>从监测数据可知，2018年10月~2019年03月石井河监测断面各常规指标均超出了《地表水环境质量标准》(GB3838-2002)III类标准。</w:t>
            </w:r>
            <w:r>
              <w:rPr>
                <w:sz w:val="24"/>
              </w:rPr>
              <w:t>河流受到一定的污染。导致水体污染的主要原因是该地区市政管网不完善，上游及沿岸一些工业废水和居民生活污水未经达标处理直接排放进入河涌，导致其水质状况恶化。今后随着广州城市污水处理率进一步提高，龙归污水处理厂管网建逐渐完善，白海面涌的水质将会逐步改善。</w:t>
            </w:r>
          </w:p>
          <w:p>
            <w:pPr>
              <w:pStyle w:val="8"/>
              <w:snapToGrid/>
              <w:ind w:firstLine="482"/>
              <w:rPr>
                <w:rFonts w:ascii="Times New Roman"/>
                <w:b/>
                <w:bCs/>
                <w:sz w:val="24"/>
              </w:rPr>
            </w:pPr>
            <w:r>
              <w:rPr>
                <w:rFonts w:ascii="Times New Roman"/>
                <w:b/>
                <w:bCs/>
                <w:sz w:val="24"/>
              </w:rPr>
              <w:t>3、声环境质量现状</w:t>
            </w:r>
          </w:p>
          <w:p>
            <w:pPr>
              <w:pStyle w:val="8"/>
              <w:snapToGrid/>
              <w:ind w:firstLine="480"/>
              <w:rPr>
                <w:rFonts w:ascii="Times New Roman"/>
                <w:sz w:val="24"/>
              </w:rPr>
            </w:pPr>
            <w:r>
              <w:rPr>
                <w:rFonts w:ascii="Times New Roman"/>
                <w:sz w:val="24"/>
              </w:rPr>
              <w:t>由</w:t>
            </w:r>
            <w:r>
              <w:rPr>
                <w:rFonts w:ascii="Times New Roman"/>
                <w:sz w:val="24"/>
                <w:lang w:val="zh-CN"/>
              </w:rPr>
              <w:t>监测结果可知，厂界四个监测点昼、夜间环境噪声均符合《声环境质量标准》(GB3096－2008)的</w:t>
            </w:r>
            <w:r>
              <w:rPr>
                <w:rFonts w:ascii="Times New Roman"/>
                <w:sz w:val="24"/>
              </w:rPr>
              <w:t>2</w:t>
            </w:r>
            <w:r>
              <w:rPr>
                <w:rFonts w:ascii="Times New Roman"/>
                <w:sz w:val="24"/>
                <w:lang w:val="zh-CN"/>
              </w:rPr>
              <w:t>类标准要求。建设项目所在区域声环境质量现状良好</w:t>
            </w:r>
            <w:r>
              <w:rPr>
                <w:rFonts w:ascii="Times New Roman"/>
                <w:sz w:val="24"/>
              </w:rPr>
              <w:t>。</w:t>
            </w:r>
          </w:p>
          <w:p>
            <w:pPr>
              <w:numPr>
                <w:ilvl w:val="0"/>
                <w:numId w:val="13"/>
              </w:numPr>
              <w:spacing w:line="360" w:lineRule="auto"/>
              <w:rPr>
                <w:b/>
                <w:sz w:val="24"/>
              </w:rPr>
            </w:pPr>
            <w:r>
              <w:rPr>
                <w:b/>
                <w:sz w:val="24"/>
              </w:rPr>
              <w:t>项目施工期间的环境影响分析</w:t>
            </w:r>
          </w:p>
          <w:p>
            <w:pPr>
              <w:spacing w:line="360" w:lineRule="auto"/>
              <w:ind w:firstLine="480" w:firstLineChars="200"/>
              <w:jc w:val="left"/>
              <w:rPr>
                <w:bCs/>
                <w:sz w:val="24"/>
                <w:szCs w:val="22"/>
              </w:rPr>
            </w:pPr>
            <w:r>
              <w:rPr>
                <w:bCs/>
                <w:sz w:val="24"/>
                <w:szCs w:val="22"/>
              </w:rPr>
              <w:t>本项目租用已建厂房进行经营，设备已安装完成，已无建设期污染。</w:t>
            </w:r>
          </w:p>
          <w:p>
            <w:pPr>
              <w:numPr>
                <w:ilvl w:val="0"/>
                <w:numId w:val="14"/>
              </w:numPr>
              <w:spacing w:line="360" w:lineRule="auto"/>
              <w:rPr>
                <w:b/>
                <w:sz w:val="24"/>
              </w:rPr>
            </w:pPr>
            <w:r>
              <w:rPr>
                <w:b/>
                <w:sz w:val="24"/>
              </w:rPr>
              <w:t>项目运营期的环境影响评价结论</w:t>
            </w:r>
          </w:p>
          <w:p>
            <w:pPr>
              <w:numPr>
                <w:ilvl w:val="0"/>
                <w:numId w:val="15"/>
              </w:numPr>
              <w:wordWrap w:val="0"/>
              <w:spacing w:line="360" w:lineRule="auto"/>
              <w:ind w:firstLine="482" w:firstLineChars="200"/>
              <w:jc w:val="left"/>
              <w:rPr>
                <w:b/>
                <w:bCs/>
                <w:kern w:val="0"/>
                <w:sz w:val="24"/>
              </w:rPr>
            </w:pPr>
            <w:r>
              <w:rPr>
                <w:b/>
                <w:bCs/>
                <w:kern w:val="0"/>
                <w:sz w:val="24"/>
              </w:rPr>
              <w:t>水环境影响分析</w:t>
            </w:r>
            <w:r>
              <w:rPr>
                <w:b/>
                <w:bCs/>
                <w:sz w:val="24"/>
                <w:szCs w:val="22"/>
              </w:rPr>
              <w:t>结论</w:t>
            </w:r>
          </w:p>
          <w:p>
            <w:pPr>
              <w:spacing w:line="360" w:lineRule="auto"/>
              <w:ind w:firstLine="480" w:firstLineChars="200"/>
              <w:rPr>
                <w:bCs/>
                <w:sz w:val="24"/>
              </w:rPr>
            </w:pPr>
            <w:r>
              <w:rPr>
                <w:kern w:val="0"/>
                <w:sz w:val="24"/>
              </w:rPr>
              <w:t>本项目生产过程产生的废水主要为员工生活污水，</w:t>
            </w:r>
            <w:r>
              <w:rPr>
                <w:sz w:val="24"/>
              </w:rPr>
              <w:t>项目员工生活污水产生量为0.9m</w:t>
            </w:r>
            <w:r>
              <w:rPr>
                <w:sz w:val="24"/>
                <w:vertAlign w:val="superscript"/>
              </w:rPr>
              <w:t>3</w:t>
            </w:r>
            <w:r>
              <w:rPr>
                <w:sz w:val="24"/>
              </w:rPr>
              <w:t>/d（270m</w:t>
            </w:r>
            <w:r>
              <w:rPr>
                <w:sz w:val="24"/>
                <w:vertAlign w:val="superscript"/>
              </w:rPr>
              <w:t>3</w:t>
            </w:r>
            <w:r>
              <w:rPr>
                <w:sz w:val="24"/>
              </w:rPr>
              <w:t>/a），项目生活污水经三级化粪池预处理后达到广东省《水污染物排放限值》</w:t>
            </w:r>
            <w:r>
              <w:rPr>
                <w:bCs/>
                <w:sz w:val="24"/>
              </w:rPr>
              <w:t>（DB44/26-2001）第二时段三级标准后，排入市政污水管网，由龙归污水处理厂作进一步处理达标后排放。对纳污水体白海面涌影响较小。</w:t>
            </w:r>
          </w:p>
          <w:p>
            <w:pPr>
              <w:spacing w:line="360" w:lineRule="auto"/>
              <w:ind w:firstLine="480" w:firstLineChars="200"/>
              <w:rPr>
                <w:bCs/>
                <w:sz w:val="24"/>
                <w:lang w:val="zh-CN"/>
              </w:rPr>
            </w:pPr>
            <w:r>
              <w:rPr>
                <w:bCs/>
                <w:sz w:val="24"/>
              </w:rPr>
              <w:t>综上所述，本项目产生的污水经以上措施处理后，可以符合相关的排放要求，则不会对周围水环境造成明显的影响。</w:t>
            </w:r>
          </w:p>
          <w:p>
            <w:pPr>
              <w:spacing w:line="360" w:lineRule="auto"/>
              <w:ind w:firstLine="482" w:firstLineChars="200"/>
              <w:rPr>
                <w:b/>
                <w:sz w:val="24"/>
              </w:rPr>
            </w:pPr>
            <w:r>
              <w:rPr>
                <w:rFonts w:hint="eastAsia"/>
                <w:b/>
                <w:sz w:val="24"/>
              </w:rPr>
              <w:t>2、</w:t>
            </w:r>
            <w:r>
              <w:rPr>
                <w:b/>
                <w:sz w:val="24"/>
              </w:rPr>
              <w:t>大气环境影响分析结论</w:t>
            </w:r>
          </w:p>
          <w:p>
            <w:pPr>
              <w:spacing w:line="360" w:lineRule="auto"/>
              <w:ind w:firstLine="480" w:firstLineChars="200"/>
              <w:rPr>
                <w:bCs/>
                <w:sz w:val="24"/>
              </w:rPr>
            </w:pPr>
            <w:r>
              <w:rPr>
                <w:bCs/>
                <w:sz w:val="24"/>
              </w:rPr>
              <w:t>本项目运营期产生的废气主要为喷粉工序产生的粉尘、燃烧废气和烘干工序产生的</w:t>
            </w:r>
            <w:r>
              <w:rPr>
                <w:rFonts w:hint="eastAsia"/>
                <w:bCs/>
                <w:sz w:val="24"/>
                <w:lang w:val="en-US" w:eastAsia="zh-CN"/>
              </w:rPr>
              <w:t>固化</w:t>
            </w:r>
            <w:r>
              <w:rPr>
                <w:bCs/>
                <w:sz w:val="24"/>
              </w:rPr>
              <w:t>废气。</w:t>
            </w:r>
          </w:p>
          <w:p>
            <w:pPr>
              <w:spacing w:line="360" w:lineRule="auto"/>
              <w:ind w:firstLine="480" w:firstLineChars="200"/>
              <w:rPr>
                <w:rFonts w:hint="eastAsia"/>
                <w:bCs/>
                <w:sz w:val="24"/>
                <w:lang w:val="zh-CN"/>
              </w:rPr>
            </w:pPr>
            <w:r>
              <w:rPr>
                <w:rFonts w:hint="eastAsia"/>
                <w:bCs/>
                <w:sz w:val="24"/>
                <w:lang w:val="en-US" w:eastAsia="zh-CN"/>
              </w:rPr>
              <w:t>喷粉</w:t>
            </w:r>
            <w:r>
              <w:rPr>
                <w:bCs/>
                <w:sz w:val="24"/>
                <w:lang w:val="zh-CN"/>
              </w:rPr>
              <w:t>粉尘</w:t>
            </w:r>
            <w:r>
              <w:rPr>
                <w:rFonts w:hint="eastAsia"/>
                <w:sz w:val="24"/>
                <w:lang w:val="en-US" w:eastAsia="zh-CN"/>
              </w:rPr>
              <w:t>经“高密度滤芯过+脉冲反吹清灰”除尘系统</w:t>
            </w:r>
            <w:r>
              <w:rPr>
                <w:bCs/>
                <w:sz w:val="24"/>
                <w:lang w:val="zh-CN"/>
              </w:rPr>
              <w:t>收集</w:t>
            </w:r>
            <w:r>
              <w:rPr>
                <w:rFonts w:hint="eastAsia"/>
                <w:bCs/>
                <w:sz w:val="24"/>
                <w:lang w:val="en-US" w:eastAsia="zh-CN"/>
              </w:rPr>
              <w:t>处理</w:t>
            </w:r>
            <w:r>
              <w:rPr>
                <w:bCs/>
                <w:sz w:val="24"/>
                <w:lang w:val="zh-CN"/>
              </w:rPr>
              <w:t>达到</w:t>
            </w:r>
            <w:r>
              <w:rPr>
                <w:bCs/>
                <w:sz w:val="24"/>
              </w:rPr>
              <w:t>《大气污染物排放限值》（DB44/27-2001）第二时段二级标准后，通过15m排气筒</w:t>
            </w:r>
            <w:r>
              <w:rPr>
                <w:rFonts w:hint="eastAsia"/>
                <w:bCs/>
                <w:sz w:val="24"/>
                <w:lang w:eastAsia="zh-CN"/>
              </w:rPr>
              <w:t>（</w:t>
            </w:r>
            <w:r>
              <w:rPr>
                <w:rFonts w:hint="eastAsia"/>
                <w:bCs/>
                <w:sz w:val="24"/>
                <w:lang w:val="en-US" w:eastAsia="zh-CN"/>
              </w:rPr>
              <w:t>G1</w:t>
            </w:r>
            <w:r>
              <w:rPr>
                <w:rFonts w:hint="eastAsia"/>
                <w:bCs/>
                <w:sz w:val="24"/>
                <w:lang w:eastAsia="zh-CN"/>
              </w:rPr>
              <w:t>）</w:t>
            </w:r>
            <w:r>
              <w:rPr>
                <w:bCs/>
                <w:sz w:val="24"/>
              </w:rPr>
              <w:t>高空排放</w:t>
            </w:r>
            <w:r>
              <w:rPr>
                <w:rFonts w:hint="eastAsia"/>
                <w:bCs/>
                <w:sz w:val="24"/>
                <w:lang w:val="zh-CN"/>
              </w:rPr>
              <w:t>。</w:t>
            </w:r>
          </w:p>
          <w:p>
            <w:pPr>
              <w:spacing w:line="360" w:lineRule="auto"/>
              <w:ind w:firstLine="480" w:firstLineChars="200"/>
              <w:rPr>
                <w:bCs/>
                <w:sz w:val="24"/>
                <w:lang w:val="zh-CN"/>
              </w:rPr>
            </w:pPr>
            <w:r>
              <w:rPr>
                <w:bCs/>
                <w:sz w:val="24"/>
              </w:rPr>
              <w:t>天然气属于清洁能源，燃烧废气经收集后达到广东省《锅炉大气污染物排放标准》（DB 44/765-2019）中新建燃气锅炉标准后通过</w:t>
            </w:r>
            <w:r>
              <w:rPr>
                <w:bCs/>
                <w:sz w:val="24"/>
                <w:lang w:val="zh-CN"/>
              </w:rPr>
              <w:t>15m排气筒</w:t>
            </w:r>
            <w:r>
              <w:rPr>
                <w:rFonts w:hint="eastAsia"/>
                <w:bCs/>
                <w:sz w:val="24"/>
                <w:lang w:eastAsia="zh-CN"/>
              </w:rPr>
              <w:t>（</w:t>
            </w:r>
            <w:r>
              <w:rPr>
                <w:rFonts w:hint="eastAsia"/>
                <w:bCs/>
                <w:sz w:val="24"/>
                <w:lang w:val="en-US" w:eastAsia="zh-CN"/>
              </w:rPr>
              <w:t>G2</w:t>
            </w:r>
            <w:r>
              <w:rPr>
                <w:rFonts w:hint="eastAsia"/>
                <w:bCs/>
                <w:sz w:val="24"/>
                <w:lang w:eastAsia="zh-CN"/>
              </w:rPr>
              <w:t>）</w:t>
            </w:r>
            <w:r>
              <w:rPr>
                <w:bCs/>
                <w:sz w:val="24"/>
                <w:lang w:val="zh-CN"/>
              </w:rPr>
              <w:t>高空排放</w:t>
            </w:r>
            <w:r>
              <w:rPr>
                <w:rFonts w:hint="eastAsia"/>
                <w:bCs/>
                <w:sz w:val="24"/>
                <w:lang w:val="zh-CN"/>
              </w:rPr>
              <w:t>。</w:t>
            </w:r>
          </w:p>
          <w:p>
            <w:pPr>
              <w:spacing w:line="360" w:lineRule="auto"/>
              <w:ind w:firstLine="480" w:firstLineChars="200"/>
              <w:rPr>
                <w:bCs/>
                <w:sz w:val="24"/>
              </w:rPr>
            </w:pPr>
            <w:r>
              <w:rPr>
                <w:rFonts w:hint="eastAsia"/>
                <w:bCs/>
                <w:sz w:val="24"/>
                <w:lang w:val="en-US" w:eastAsia="zh-CN"/>
              </w:rPr>
              <w:t>固化</w:t>
            </w:r>
            <w:r>
              <w:rPr>
                <w:bCs/>
                <w:sz w:val="24"/>
              </w:rPr>
              <w:t>废气VOCs</w:t>
            </w:r>
            <w:r>
              <w:rPr>
                <w:rFonts w:hint="eastAsia"/>
                <w:sz w:val="24"/>
                <w:lang w:val="en-US" w:eastAsia="zh-CN"/>
              </w:rPr>
              <w:t>集中收集至“水喷淋+</w:t>
            </w:r>
            <w:r>
              <w:rPr>
                <w:sz w:val="24"/>
              </w:rPr>
              <w:t>UV光解+活性炭吸附</w:t>
            </w:r>
            <w:r>
              <w:rPr>
                <w:rFonts w:hint="eastAsia"/>
                <w:sz w:val="24"/>
                <w:lang w:val="en-US" w:eastAsia="zh-CN"/>
              </w:rPr>
              <w:t>装置”</w:t>
            </w:r>
            <w:r>
              <w:rPr>
                <w:sz w:val="24"/>
              </w:rPr>
              <w:t>处理</w:t>
            </w:r>
            <w:r>
              <w:rPr>
                <w:bCs/>
                <w:sz w:val="24"/>
              </w:rPr>
              <w:t>达到</w:t>
            </w:r>
            <w:r>
              <w:rPr>
                <w:rFonts w:hint="eastAsia"/>
                <w:sz w:val="24"/>
                <w:lang w:val="en-US" w:eastAsia="zh-CN"/>
              </w:rPr>
              <w:t>广东省《家具制造行业挥发性有机化合物排放标准》（DB44/814-2010）第Ⅱ时段限值</w:t>
            </w:r>
            <w:r>
              <w:rPr>
                <w:bCs/>
                <w:sz w:val="24"/>
              </w:rPr>
              <w:t>要求后通过15m排气筒</w:t>
            </w:r>
            <w:r>
              <w:rPr>
                <w:rFonts w:hint="eastAsia"/>
                <w:bCs/>
                <w:sz w:val="24"/>
                <w:lang w:eastAsia="zh-CN"/>
              </w:rPr>
              <w:t>（</w:t>
            </w:r>
            <w:r>
              <w:rPr>
                <w:rFonts w:hint="eastAsia"/>
                <w:bCs/>
                <w:sz w:val="24"/>
                <w:lang w:val="en-US" w:eastAsia="zh-CN"/>
              </w:rPr>
              <w:t>G2</w:t>
            </w:r>
            <w:r>
              <w:rPr>
                <w:rFonts w:hint="eastAsia"/>
                <w:bCs/>
                <w:sz w:val="24"/>
                <w:lang w:eastAsia="zh-CN"/>
              </w:rPr>
              <w:t>）</w:t>
            </w:r>
            <w:r>
              <w:rPr>
                <w:bCs/>
                <w:sz w:val="24"/>
              </w:rPr>
              <w:t xml:space="preserve">高空排放。 </w:t>
            </w:r>
          </w:p>
          <w:p>
            <w:pPr>
              <w:spacing w:line="360" w:lineRule="auto"/>
              <w:ind w:firstLine="480" w:firstLineChars="200"/>
              <w:rPr>
                <w:bCs/>
                <w:sz w:val="24"/>
              </w:rPr>
            </w:pPr>
            <w:r>
              <w:rPr>
                <w:bCs/>
                <w:sz w:val="24"/>
              </w:rPr>
              <w:t>经上述处理措施后，本项目产生的废气不会对周边大气环境产生明显</w:t>
            </w:r>
            <w:r>
              <w:rPr>
                <w:rFonts w:hint="eastAsia"/>
                <w:bCs/>
                <w:sz w:val="24"/>
              </w:rPr>
              <w:t>的</w:t>
            </w:r>
            <w:r>
              <w:rPr>
                <w:bCs/>
                <w:sz w:val="24"/>
              </w:rPr>
              <w:t>影响。</w:t>
            </w:r>
          </w:p>
          <w:p>
            <w:pPr>
              <w:spacing w:line="360" w:lineRule="auto"/>
              <w:ind w:firstLine="482" w:firstLineChars="200"/>
              <w:rPr>
                <w:b/>
                <w:sz w:val="24"/>
              </w:rPr>
            </w:pPr>
            <w:r>
              <w:rPr>
                <w:rFonts w:hint="eastAsia"/>
                <w:b/>
                <w:sz w:val="24"/>
              </w:rPr>
              <w:t>3、</w:t>
            </w:r>
            <w:r>
              <w:rPr>
                <w:b/>
                <w:sz w:val="24"/>
              </w:rPr>
              <w:t>声环境影响分析结论</w:t>
            </w:r>
          </w:p>
          <w:p>
            <w:pPr>
              <w:spacing w:line="360" w:lineRule="auto"/>
              <w:ind w:firstLine="480" w:firstLineChars="200"/>
              <w:rPr>
                <w:sz w:val="24"/>
              </w:rPr>
            </w:pPr>
            <w:r>
              <w:rPr>
                <w:bCs/>
                <w:sz w:val="24"/>
              </w:rPr>
              <w:t>本项目声环境污染源主要为机械设备的运行噪声，针对此采取有效的选用低噪音设备，优化厂</w:t>
            </w:r>
            <w:r>
              <w:rPr>
                <w:sz w:val="24"/>
              </w:rPr>
              <w:t>区平面布置，对生产设备做好消声、隔音和减振，加强管理等综合治理措施</w:t>
            </w:r>
            <w:r>
              <w:rPr>
                <w:bCs/>
                <w:sz w:val="24"/>
              </w:rPr>
              <w:t>，再经自然衰减后，可使项目边界符合《工业企业厂界环境噪声排放标准》（GB 12348-2008）2类标准（昼间≤60B(A)，夜间≤50dB(A)），不会对周围环境造成明显影响。</w:t>
            </w:r>
          </w:p>
          <w:p>
            <w:pPr>
              <w:adjustRightInd w:val="0"/>
              <w:snapToGrid w:val="0"/>
              <w:spacing w:line="360" w:lineRule="auto"/>
              <w:ind w:firstLine="482" w:firstLineChars="200"/>
              <w:rPr>
                <w:b/>
                <w:bCs/>
                <w:sz w:val="24"/>
              </w:rPr>
            </w:pPr>
            <w:r>
              <w:rPr>
                <w:rFonts w:hint="eastAsia"/>
                <w:b/>
                <w:bCs/>
                <w:sz w:val="24"/>
              </w:rPr>
              <w:t>4、</w:t>
            </w:r>
            <w:r>
              <w:rPr>
                <w:b/>
                <w:bCs/>
                <w:sz w:val="24"/>
              </w:rPr>
              <w:t>固体废物影响分析</w:t>
            </w:r>
            <w:r>
              <w:rPr>
                <w:b/>
                <w:bCs/>
                <w:sz w:val="24"/>
                <w:szCs w:val="22"/>
              </w:rPr>
              <w:t>结论</w:t>
            </w:r>
          </w:p>
          <w:p>
            <w:pPr>
              <w:adjustRightInd w:val="0"/>
              <w:snapToGrid w:val="0"/>
              <w:spacing w:line="360" w:lineRule="auto"/>
              <w:ind w:firstLine="480" w:firstLineChars="200"/>
              <w:rPr>
                <w:bCs/>
                <w:sz w:val="24"/>
              </w:rPr>
            </w:pPr>
            <w:r>
              <w:rPr>
                <w:kern w:val="24"/>
                <w:sz w:val="24"/>
              </w:rPr>
              <w:t>本项目产生的</w:t>
            </w:r>
            <w:r>
              <w:rPr>
                <w:bCs/>
                <w:sz w:val="24"/>
              </w:rPr>
              <w:t>生活垃圾经收集后交环卫部门处理；生产过程中产生的包装废物经收集后定期外卖给回收公司回收处理；原料空桶不属于固体废物，交由厂家回收再利用；生产过程中会产生的危险固废为废UV灯管、废活性炭，经收集后交由有资质的单位回收处理。</w:t>
            </w:r>
          </w:p>
          <w:p>
            <w:pPr>
              <w:spacing w:line="360" w:lineRule="auto"/>
              <w:ind w:firstLine="480" w:firstLineChars="200"/>
              <w:rPr>
                <w:bCs/>
                <w:sz w:val="24"/>
              </w:rPr>
            </w:pPr>
            <w:r>
              <w:rPr>
                <w:bCs/>
                <w:sz w:val="24"/>
              </w:rPr>
              <w:t>经采用上述措施后，</w:t>
            </w:r>
            <w:r>
              <w:rPr>
                <w:sz w:val="24"/>
              </w:rPr>
              <w:t>该项目产生的固体废弃物可做到100%安全处置</w:t>
            </w:r>
            <w:r>
              <w:rPr>
                <w:bCs/>
                <w:sz w:val="24"/>
              </w:rPr>
              <w:t>，则对周围环境基本无影响。</w:t>
            </w:r>
          </w:p>
          <w:p>
            <w:pPr>
              <w:spacing w:line="360" w:lineRule="auto"/>
              <w:ind w:firstLine="482" w:firstLineChars="200"/>
              <w:rPr>
                <w:b/>
                <w:sz w:val="24"/>
              </w:rPr>
            </w:pPr>
            <w:r>
              <w:rPr>
                <w:b/>
                <w:sz w:val="24"/>
              </w:rPr>
              <w:t>5、环境风险分析结论</w:t>
            </w:r>
          </w:p>
          <w:p>
            <w:pPr>
              <w:spacing w:line="360" w:lineRule="auto"/>
              <w:ind w:firstLine="480" w:firstLineChars="200"/>
              <w:rPr>
                <w:sz w:val="24"/>
              </w:rPr>
            </w:pPr>
            <w:r>
              <w:rPr>
                <w:bCs/>
                <w:sz w:val="24"/>
              </w:rPr>
              <w:t>本项目环境风险潜势为Ⅰ，通过采取相应的风险防范措施，项目的环境风险可控。一旦发</w:t>
            </w:r>
            <w:r>
              <w:rPr>
                <w:sz w:val="24"/>
              </w:rPr>
              <w:t>生事故，建设单位应立即执行事故应急预案，采取合理的事故应急处理措施，将事故影响降到最低限度。</w:t>
            </w:r>
          </w:p>
          <w:p>
            <w:pPr>
              <w:spacing w:line="360" w:lineRule="auto"/>
              <w:rPr>
                <w:b/>
                <w:bCs/>
                <w:sz w:val="24"/>
              </w:rPr>
            </w:pPr>
            <w:r>
              <w:rPr>
                <w:b/>
                <w:bCs/>
                <w:sz w:val="24"/>
              </w:rPr>
              <w:t>四、产业政策相符性分析结论</w:t>
            </w:r>
          </w:p>
          <w:p>
            <w:pPr>
              <w:spacing w:line="360" w:lineRule="auto"/>
              <w:ind w:left="480"/>
              <w:rPr>
                <w:sz w:val="24"/>
              </w:rPr>
            </w:pPr>
            <w:r>
              <w:rPr>
                <w:sz w:val="24"/>
              </w:rPr>
              <w:t>项目位于工业区，选址和用地性质符合相关规划的要求。项目的建设符合国</w:t>
            </w:r>
          </w:p>
          <w:p>
            <w:pPr>
              <w:spacing w:line="360" w:lineRule="auto"/>
              <w:rPr>
                <w:sz w:val="24"/>
              </w:rPr>
            </w:pPr>
            <w:r>
              <w:rPr>
                <w:sz w:val="24"/>
              </w:rPr>
              <w:t>家产业政策的要求，同时符合广东省产业政策和相关规范的要求。</w:t>
            </w:r>
          </w:p>
          <w:p>
            <w:pPr>
              <w:spacing w:line="360" w:lineRule="auto"/>
              <w:rPr>
                <w:b/>
                <w:bCs/>
                <w:sz w:val="24"/>
              </w:rPr>
            </w:pPr>
            <w:r>
              <w:rPr>
                <w:b/>
                <w:sz w:val="24"/>
              </w:rPr>
              <w:t>五、总量控制指标</w:t>
            </w:r>
          </w:p>
          <w:p>
            <w:pPr>
              <w:adjustRightInd w:val="0"/>
              <w:snapToGrid w:val="0"/>
              <w:spacing w:line="360" w:lineRule="auto"/>
              <w:ind w:firstLine="480" w:firstLineChars="200"/>
              <w:rPr>
                <w:sz w:val="24"/>
              </w:rPr>
            </w:pPr>
            <w:r>
              <w:rPr>
                <w:sz w:val="24"/>
              </w:rPr>
              <w:t>1、水污染物排放总量控制指标：</w:t>
            </w:r>
          </w:p>
          <w:p>
            <w:pPr>
              <w:adjustRightInd w:val="0"/>
              <w:snapToGrid w:val="0"/>
              <w:spacing w:line="360" w:lineRule="auto"/>
              <w:ind w:firstLine="480" w:firstLineChars="200"/>
              <w:rPr>
                <w:sz w:val="24"/>
              </w:rPr>
            </w:pPr>
            <w:r>
              <w:rPr>
                <w:sz w:val="24"/>
              </w:rPr>
              <w:t>纳入到龙归污水处理厂的总量指标中，不单独申请总量指标。</w:t>
            </w:r>
          </w:p>
          <w:p>
            <w:pPr>
              <w:adjustRightInd w:val="0"/>
              <w:snapToGrid w:val="0"/>
              <w:spacing w:line="360" w:lineRule="auto"/>
              <w:ind w:firstLine="480" w:firstLineChars="200"/>
              <w:rPr>
                <w:sz w:val="24"/>
              </w:rPr>
            </w:pPr>
            <w:r>
              <w:rPr>
                <w:sz w:val="24"/>
              </w:rPr>
              <w:t>2、大气污染物排放总量控制指标：</w:t>
            </w:r>
          </w:p>
          <w:p>
            <w:pPr>
              <w:adjustRightInd w:val="0"/>
              <w:snapToGrid w:val="0"/>
              <w:spacing w:line="360" w:lineRule="auto"/>
              <w:ind w:firstLine="480" w:firstLineChars="200"/>
              <w:rPr>
                <w:color w:val="FF0000"/>
                <w:sz w:val="24"/>
                <w:szCs w:val="24"/>
              </w:rPr>
            </w:pPr>
            <w:r>
              <w:rPr>
                <w:rFonts w:hint="eastAsia"/>
                <w:color w:val="FF0000"/>
                <w:sz w:val="24"/>
                <w:lang w:val="en-US" w:eastAsia="zh-CN"/>
              </w:rPr>
              <w:t>废气量：9600万Nm</w:t>
            </w:r>
            <w:r>
              <w:rPr>
                <w:rFonts w:hint="eastAsia"/>
                <w:color w:val="FF0000"/>
                <w:sz w:val="24"/>
                <w:vertAlign w:val="superscript"/>
                <w:lang w:val="en-US" w:eastAsia="zh-CN"/>
              </w:rPr>
              <w:t>3</w:t>
            </w:r>
            <w:r>
              <w:rPr>
                <w:rFonts w:hint="eastAsia"/>
                <w:color w:val="FF0000"/>
                <w:sz w:val="24"/>
                <w:lang w:val="en-US" w:eastAsia="zh-CN"/>
              </w:rPr>
              <w:t>/a；</w:t>
            </w:r>
          </w:p>
          <w:p>
            <w:pPr>
              <w:adjustRightInd w:val="0"/>
              <w:snapToGrid w:val="0"/>
              <w:spacing w:line="360" w:lineRule="auto"/>
              <w:ind w:firstLine="480" w:firstLineChars="200"/>
              <w:rPr>
                <w:rFonts w:hint="eastAsia" w:eastAsia="宋体"/>
                <w:color w:val="FF0000"/>
                <w:sz w:val="24"/>
                <w:szCs w:val="24"/>
                <w:lang w:eastAsia="zh-CN"/>
              </w:rPr>
            </w:pPr>
            <w:r>
              <w:rPr>
                <w:color w:val="FF0000"/>
                <w:sz w:val="24"/>
                <w:szCs w:val="24"/>
              </w:rPr>
              <w:t>VOCs</w:t>
            </w:r>
            <w:r>
              <w:rPr>
                <w:rFonts w:hint="eastAsia"/>
                <w:color w:val="FF0000"/>
                <w:sz w:val="24"/>
                <w:szCs w:val="24"/>
                <w:lang w:eastAsia="zh-CN"/>
              </w:rPr>
              <w:t>：</w:t>
            </w:r>
            <w:r>
              <w:rPr>
                <w:rFonts w:hint="default" w:ascii="Times New Roman" w:hAnsi="Times New Roman" w:eastAsia="宋体" w:cs="Times New Roman"/>
                <w:i w:val="0"/>
                <w:color w:val="FF0000"/>
                <w:kern w:val="0"/>
                <w:sz w:val="24"/>
                <w:szCs w:val="24"/>
                <w:u w:val="none"/>
                <w:lang w:val="en-US" w:eastAsia="zh-CN" w:bidi="ar"/>
              </w:rPr>
              <w:t>0.0108</w:t>
            </w:r>
            <w:r>
              <w:rPr>
                <w:color w:val="FF0000"/>
                <w:sz w:val="24"/>
                <w:szCs w:val="24"/>
              </w:rPr>
              <w:t>t/a</w:t>
            </w:r>
            <w:r>
              <w:rPr>
                <w:rFonts w:hint="eastAsia"/>
                <w:color w:val="FF0000"/>
                <w:sz w:val="24"/>
                <w:szCs w:val="24"/>
                <w:lang w:eastAsia="zh-CN"/>
              </w:rPr>
              <w:t>；</w:t>
            </w:r>
            <w:r>
              <w:rPr>
                <w:rFonts w:hint="eastAsia"/>
                <w:color w:val="FF0000"/>
                <w:sz w:val="24"/>
                <w:szCs w:val="24"/>
                <w:lang w:val="en-US" w:eastAsia="zh-CN"/>
              </w:rPr>
              <w:t>TSP</w:t>
            </w:r>
            <w:r>
              <w:rPr>
                <w:rFonts w:hint="eastAsia"/>
                <w:color w:val="FF0000"/>
                <w:sz w:val="24"/>
                <w:szCs w:val="24"/>
                <w:lang w:eastAsia="zh-CN"/>
              </w:rPr>
              <w:t>：</w:t>
            </w:r>
            <w:r>
              <w:rPr>
                <w:rFonts w:hint="eastAsia" w:ascii="Times New Roman" w:hAnsi="Times New Roman" w:eastAsia="宋体" w:cs="Times New Roman"/>
                <w:i w:val="0"/>
                <w:color w:val="FF0000"/>
                <w:kern w:val="0"/>
                <w:sz w:val="24"/>
                <w:szCs w:val="24"/>
                <w:u w:val="none"/>
                <w:lang w:val="en-US" w:eastAsia="zh-CN" w:bidi="ar"/>
              </w:rPr>
              <w:t>0.1482</w:t>
            </w:r>
            <w:r>
              <w:rPr>
                <w:color w:val="FF0000"/>
                <w:sz w:val="24"/>
                <w:szCs w:val="24"/>
              </w:rPr>
              <w:t>t/a</w:t>
            </w:r>
            <w:r>
              <w:rPr>
                <w:rFonts w:hint="eastAsia"/>
                <w:color w:val="FF0000"/>
                <w:sz w:val="24"/>
                <w:szCs w:val="24"/>
                <w:lang w:eastAsia="zh-CN"/>
              </w:rPr>
              <w:t>（</w:t>
            </w:r>
            <w:r>
              <w:rPr>
                <w:rFonts w:hint="eastAsia"/>
                <w:color w:val="FF0000"/>
                <w:sz w:val="24"/>
                <w:szCs w:val="24"/>
                <w:lang w:val="en-US" w:eastAsia="zh-CN"/>
              </w:rPr>
              <w:t>含喷粉粉尘0.147t/a、燃烧废气烟尘0.0012</w:t>
            </w:r>
            <w:r>
              <w:rPr>
                <w:color w:val="FF0000"/>
                <w:sz w:val="24"/>
                <w:szCs w:val="24"/>
              </w:rPr>
              <w:t>t/a</w:t>
            </w:r>
            <w:r>
              <w:rPr>
                <w:rFonts w:hint="eastAsia"/>
                <w:color w:val="FF0000"/>
                <w:sz w:val="24"/>
                <w:szCs w:val="24"/>
                <w:lang w:eastAsia="zh-CN"/>
              </w:rPr>
              <w:t>）；</w:t>
            </w:r>
            <w:r>
              <w:rPr>
                <w:color w:val="FF0000"/>
                <w:sz w:val="24"/>
                <w:szCs w:val="24"/>
              </w:rPr>
              <w:t>NOx</w:t>
            </w:r>
            <w:r>
              <w:rPr>
                <w:rFonts w:hint="eastAsia"/>
                <w:color w:val="FF0000"/>
                <w:sz w:val="24"/>
                <w:szCs w:val="24"/>
                <w:lang w:eastAsia="zh-CN"/>
              </w:rPr>
              <w:t>：</w:t>
            </w:r>
            <w:r>
              <w:rPr>
                <w:rFonts w:hint="eastAsia" w:cs="Times New Roman"/>
                <w:i w:val="0"/>
                <w:color w:val="FF0000"/>
                <w:kern w:val="0"/>
                <w:sz w:val="24"/>
                <w:szCs w:val="24"/>
                <w:u w:val="none"/>
                <w:lang w:val="en-US" w:eastAsia="zh-CN" w:bidi="ar"/>
              </w:rPr>
              <w:t>0.00</w:t>
            </w:r>
            <w:r>
              <w:rPr>
                <w:rFonts w:hint="default" w:ascii="Times New Roman" w:hAnsi="Times New Roman" w:eastAsia="宋体" w:cs="Times New Roman"/>
                <w:i w:val="0"/>
                <w:color w:val="FF0000"/>
                <w:kern w:val="0"/>
                <w:sz w:val="24"/>
                <w:szCs w:val="24"/>
                <w:u w:val="none"/>
                <w:lang w:val="en-US" w:eastAsia="zh-CN" w:bidi="ar"/>
              </w:rPr>
              <w:t>315</w:t>
            </w:r>
            <w:r>
              <w:rPr>
                <w:color w:val="FF0000"/>
                <w:kern w:val="0"/>
                <w:sz w:val="24"/>
                <w:szCs w:val="24"/>
              </w:rPr>
              <w:t>t/a</w:t>
            </w:r>
            <w:r>
              <w:rPr>
                <w:rFonts w:hint="eastAsia"/>
                <w:color w:val="FF0000"/>
                <w:sz w:val="24"/>
                <w:szCs w:val="24"/>
                <w:lang w:eastAsia="zh-CN"/>
              </w:rPr>
              <w:t>；</w:t>
            </w:r>
            <w:r>
              <w:rPr>
                <w:color w:val="FF0000"/>
                <w:sz w:val="24"/>
                <w:szCs w:val="24"/>
              </w:rPr>
              <w:t>SO</w:t>
            </w:r>
            <w:r>
              <w:rPr>
                <w:color w:val="FF0000"/>
                <w:sz w:val="24"/>
                <w:szCs w:val="24"/>
                <w:vertAlign w:val="subscript"/>
              </w:rPr>
              <w:t>2</w:t>
            </w:r>
            <w:r>
              <w:rPr>
                <w:rFonts w:hint="eastAsia"/>
                <w:color w:val="FF0000"/>
                <w:sz w:val="24"/>
                <w:szCs w:val="24"/>
                <w:lang w:eastAsia="zh-CN"/>
              </w:rPr>
              <w:t>：</w:t>
            </w:r>
            <w:r>
              <w:rPr>
                <w:rFonts w:hint="default" w:ascii="Times New Roman" w:hAnsi="Times New Roman" w:eastAsia="宋体" w:cs="Times New Roman"/>
                <w:i w:val="0"/>
                <w:color w:val="FF0000"/>
                <w:kern w:val="0"/>
                <w:sz w:val="24"/>
                <w:szCs w:val="24"/>
                <w:u w:val="none"/>
                <w:lang w:val="en-US" w:eastAsia="zh-CN" w:bidi="ar"/>
              </w:rPr>
              <w:t>0.00</w:t>
            </w:r>
            <w:r>
              <w:rPr>
                <w:rFonts w:hint="eastAsia" w:cs="Times New Roman"/>
                <w:i w:val="0"/>
                <w:color w:val="FF0000"/>
                <w:kern w:val="0"/>
                <w:sz w:val="24"/>
                <w:szCs w:val="24"/>
                <w:u w:val="none"/>
                <w:lang w:val="en-US" w:eastAsia="zh-CN" w:bidi="ar"/>
              </w:rPr>
              <w:t>000</w:t>
            </w:r>
            <w:r>
              <w:rPr>
                <w:rFonts w:hint="default" w:ascii="Times New Roman" w:hAnsi="Times New Roman" w:eastAsia="宋体" w:cs="Times New Roman"/>
                <w:i w:val="0"/>
                <w:color w:val="FF0000"/>
                <w:kern w:val="0"/>
                <w:sz w:val="24"/>
                <w:szCs w:val="24"/>
                <w:u w:val="none"/>
                <w:lang w:val="en-US" w:eastAsia="zh-CN" w:bidi="ar"/>
              </w:rPr>
              <w:t>5</w:t>
            </w:r>
            <w:r>
              <w:rPr>
                <w:color w:val="FF0000"/>
                <w:kern w:val="0"/>
                <w:sz w:val="24"/>
                <w:szCs w:val="24"/>
              </w:rPr>
              <w:t>t/a</w:t>
            </w:r>
            <w:r>
              <w:rPr>
                <w:rFonts w:hint="eastAsia"/>
                <w:color w:val="FF0000"/>
                <w:kern w:val="0"/>
                <w:sz w:val="24"/>
                <w:szCs w:val="24"/>
                <w:lang w:eastAsia="zh-CN"/>
              </w:rPr>
              <w:t>。</w:t>
            </w:r>
          </w:p>
          <w:p>
            <w:pPr>
              <w:adjustRightInd w:val="0"/>
              <w:snapToGrid w:val="0"/>
              <w:spacing w:line="360" w:lineRule="auto"/>
              <w:ind w:firstLine="480" w:firstLineChars="200"/>
              <w:rPr>
                <w:sz w:val="24"/>
              </w:rPr>
            </w:pPr>
            <w:r>
              <w:rPr>
                <w:sz w:val="24"/>
              </w:rPr>
              <w:t>3、固体废弃物排放总量控制指标：0。</w:t>
            </w:r>
          </w:p>
          <w:p>
            <w:pPr>
              <w:tabs>
                <w:tab w:val="left" w:pos="720"/>
              </w:tabs>
              <w:adjustRightInd w:val="0"/>
              <w:snapToGrid w:val="0"/>
              <w:spacing w:line="360" w:lineRule="auto"/>
              <w:rPr>
                <w:b/>
                <w:sz w:val="24"/>
              </w:rPr>
            </w:pPr>
            <w:r>
              <w:rPr>
                <w:b/>
                <w:sz w:val="24"/>
              </w:rPr>
              <w:t>六、综合结论</w:t>
            </w:r>
            <w:bookmarkStart w:id="8" w:name="_GoBack"/>
            <w:bookmarkEnd w:id="8"/>
          </w:p>
          <w:p>
            <w:pPr>
              <w:spacing w:line="360" w:lineRule="auto"/>
              <w:ind w:firstLine="480"/>
              <w:rPr>
                <w:kern w:val="0"/>
                <w:sz w:val="24"/>
              </w:rPr>
            </w:pPr>
            <w:r>
              <w:rPr>
                <w:kern w:val="0"/>
                <w:sz w:val="24"/>
              </w:rPr>
              <w:t>综上所述，项目的建设</w:t>
            </w:r>
            <w:r>
              <w:rPr>
                <w:sz w:val="24"/>
              </w:rPr>
              <w:t>符合国家及地方产业政策，</w:t>
            </w:r>
            <w:r>
              <w:rPr>
                <w:kern w:val="0"/>
                <w:sz w:val="24"/>
              </w:rPr>
              <w:t>与周边环境功能区划相符，符合用地性质。</w:t>
            </w:r>
            <w:r>
              <w:rPr>
                <w:sz w:val="24"/>
              </w:rPr>
              <w:t>本项目在营运期间产生的各种污染物如能按本报告提出的污染防治措施进行治理，保证污染治理工程与主体工程执行环保“三同时”制度，且加强污染治理措施和设备的运营管理，则该项目的建设不会使当地水环境、环境空气、声环境发生现状质量级别的改变。因此，</w:t>
            </w:r>
            <w:r>
              <w:rPr>
                <w:b/>
                <w:sz w:val="24"/>
              </w:rPr>
              <w:t>从环境保护角度考虑，该项目的建设是可行的</w:t>
            </w:r>
            <w:r>
              <w:rPr>
                <w:sz w:val="24"/>
              </w:rPr>
              <w:t>。</w:t>
            </w:r>
          </w:p>
          <w:p>
            <w:pPr>
              <w:spacing w:line="360" w:lineRule="auto"/>
              <w:contextualSpacing/>
              <w:rPr>
                <w:b/>
                <w:sz w:val="24"/>
              </w:rPr>
            </w:pPr>
            <w:r>
              <w:rPr>
                <w:rFonts w:hint="eastAsia"/>
                <w:b/>
                <w:sz w:val="24"/>
              </w:rPr>
              <w:t>七</w:t>
            </w:r>
            <w:r>
              <w:rPr>
                <w:b/>
                <w:sz w:val="24"/>
              </w:rPr>
              <w:t>、建议</w:t>
            </w:r>
          </w:p>
          <w:p>
            <w:pPr>
              <w:spacing w:line="360" w:lineRule="auto"/>
              <w:ind w:firstLine="360" w:firstLineChars="150"/>
              <w:contextualSpacing/>
              <w:rPr>
                <w:bCs/>
                <w:kern w:val="0"/>
                <w:sz w:val="24"/>
              </w:rPr>
            </w:pPr>
            <w:r>
              <w:rPr>
                <w:bCs/>
                <w:kern w:val="0"/>
                <w:sz w:val="24"/>
              </w:rPr>
              <w:t>（1）根据环评要求，项目实施后应保证足够的环保资金，确保污染防治措施有效地运行，保证污染物达标排放；</w:t>
            </w:r>
          </w:p>
          <w:p>
            <w:pPr>
              <w:spacing w:line="360" w:lineRule="auto"/>
              <w:ind w:firstLine="360" w:firstLineChars="150"/>
              <w:contextualSpacing/>
              <w:rPr>
                <w:bCs/>
                <w:kern w:val="0"/>
                <w:sz w:val="24"/>
              </w:rPr>
            </w:pPr>
            <w:r>
              <w:rPr>
                <w:bCs/>
                <w:kern w:val="0"/>
                <w:sz w:val="24"/>
              </w:rPr>
              <w:t>（2）加强环境管理和宣传教育，提高施工人员环保意识；</w:t>
            </w:r>
          </w:p>
          <w:p>
            <w:pPr>
              <w:spacing w:line="360" w:lineRule="auto"/>
              <w:ind w:firstLine="360" w:firstLineChars="150"/>
              <w:contextualSpacing/>
              <w:rPr>
                <w:bCs/>
                <w:kern w:val="0"/>
                <w:sz w:val="24"/>
              </w:rPr>
            </w:pPr>
            <w:r>
              <w:rPr>
                <w:bCs/>
                <w:kern w:val="0"/>
                <w:sz w:val="24"/>
              </w:rPr>
              <w:t>（3）</w:t>
            </w:r>
            <w:r>
              <w:rPr>
                <w:kern w:val="0"/>
                <w:sz w:val="24"/>
              </w:rPr>
              <w:t>建设单位要落实本评价提出的各项风险防范和应急措施，防止发生风险事故时对周围环境的影响；</w:t>
            </w:r>
          </w:p>
          <w:p>
            <w:pPr>
              <w:spacing w:line="360" w:lineRule="auto"/>
              <w:ind w:firstLine="360" w:firstLineChars="150"/>
              <w:contextualSpacing/>
              <w:rPr>
                <w:bCs/>
                <w:kern w:val="0"/>
                <w:sz w:val="24"/>
              </w:rPr>
            </w:pPr>
            <w:r>
              <w:rPr>
                <w:bCs/>
                <w:kern w:val="0"/>
                <w:sz w:val="24"/>
              </w:rPr>
              <w:t>（4）建立健全一套完善的环境管理制度，并严格按管理制度执行，加强日常管理；</w:t>
            </w:r>
          </w:p>
          <w:p>
            <w:pPr>
              <w:spacing w:line="360" w:lineRule="auto"/>
              <w:ind w:firstLine="360" w:firstLineChars="150"/>
              <w:contextualSpacing/>
              <w:rPr>
                <w:bCs/>
                <w:kern w:val="0"/>
                <w:sz w:val="24"/>
              </w:rPr>
            </w:pPr>
            <w:r>
              <w:rPr>
                <w:bCs/>
                <w:kern w:val="0"/>
                <w:sz w:val="24"/>
              </w:rPr>
              <w:t>（5）关心并积极听取可能受项目环境影响的附近居民等人员、单位的反映，定期向项目最高管理者和当地环保部门汇报项目环境保护工作的情况，同时接受当地环境保护部门的监督和管理。遵守有关环境法律、法规，树立良好的企业形象，实现经济效益与社会效益、环境效益相统一；</w:t>
            </w:r>
          </w:p>
          <w:p>
            <w:pPr>
              <w:spacing w:line="360" w:lineRule="auto"/>
              <w:ind w:firstLine="480" w:firstLineChars="200"/>
              <w:rPr>
                <w:sz w:val="24"/>
              </w:rPr>
            </w:pPr>
            <w:r>
              <w:rPr>
                <w:bCs/>
                <w:kern w:val="0"/>
                <w:sz w:val="24"/>
              </w:rPr>
              <w:t>（6）项目若新增设施，须向有审批权的环境保护主管部门另行申报。</w:t>
            </w:r>
          </w:p>
          <w:p/>
        </w:tc>
      </w:tr>
    </w:tbl>
    <w:p>
      <w:pPr>
        <w:sectPr>
          <w:pgSz w:w="11906" w:h="16838"/>
          <w:pgMar w:top="1440" w:right="1800" w:bottom="1440" w:left="1800" w:header="851" w:footer="992" w:gutter="0"/>
          <w:pgNumType w:fmt="decimal"/>
          <w:cols w:space="425" w:num="1"/>
          <w:docGrid w:type="lines" w:linePitch="312" w:charSpace="0"/>
        </w:sectPr>
      </w:pP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58" w:hRule="atLeast"/>
        </w:trPr>
        <w:tc>
          <w:tcPr>
            <w:tcW w:w="8522" w:type="dxa"/>
          </w:tcPr>
          <w:p>
            <w:pPr>
              <w:adjustRightInd w:val="0"/>
              <w:snapToGrid w:val="0"/>
              <w:rPr>
                <w:caps/>
                <w:sz w:val="28"/>
              </w:rPr>
            </w:pPr>
            <w:r>
              <w:rPr>
                <w:rFonts w:hint="eastAsia"/>
                <w:caps/>
                <w:sz w:val="28"/>
              </w:rPr>
              <w:t>预审意见：</w:t>
            </w: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r>
              <w:rPr>
                <w:rFonts w:hint="eastAsia"/>
                <w:caps/>
                <w:sz w:val="28"/>
              </w:rPr>
              <w:t xml:space="preserve"> </w:t>
            </w: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r>
              <w:rPr>
                <w:rFonts w:hint="eastAsia"/>
                <w:caps/>
                <w:sz w:val="28"/>
              </w:rPr>
              <w:t>公章</w:t>
            </w:r>
          </w:p>
          <w:p>
            <w:pPr>
              <w:pStyle w:val="2"/>
              <w:outlineLvl w:val="0"/>
            </w:pPr>
          </w:p>
          <w:p>
            <w:pPr>
              <w:adjustRightInd w:val="0"/>
              <w:snapToGrid w:val="0"/>
              <w:rPr>
                <w:caps/>
                <w:sz w:val="28"/>
              </w:rPr>
            </w:pPr>
            <w:r>
              <w:rPr>
                <w:rFonts w:hint="eastAsia"/>
                <w:caps/>
                <w:sz w:val="28"/>
              </w:rPr>
              <w:t>经办人：                                 年      月      日</w:t>
            </w:r>
          </w:p>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42" w:hRule="atLeast"/>
        </w:trPr>
        <w:tc>
          <w:tcPr>
            <w:tcW w:w="8522" w:type="dxa"/>
          </w:tcPr>
          <w:p>
            <w:pPr>
              <w:adjustRightInd w:val="0"/>
              <w:snapToGrid w:val="0"/>
              <w:rPr>
                <w:sz w:val="28"/>
              </w:rPr>
            </w:pPr>
            <w:r>
              <w:rPr>
                <w:rFonts w:hint="eastAsia"/>
                <w:sz w:val="28"/>
              </w:rPr>
              <w:t>下一级环境保护行政主管部门审查意见：</w:t>
            </w: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sz w:val="28"/>
              </w:rPr>
            </w:pPr>
          </w:p>
          <w:p>
            <w:pPr>
              <w:adjustRightInd w:val="0"/>
              <w:snapToGrid w:val="0"/>
              <w:rPr>
                <w:caps/>
                <w:sz w:val="28"/>
              </w:rPr>
            </w:pPr>
            <w:r>
              <w:rPr>
                <w:rFonts w:hint="eastAsia"/>
                <w:caps/>
                <w:sz w:val="28"/>
              </w:rPr>
              <w:t>公章</w:t>
            </w:r>
          </w:p>
          <w:p>
            <w:pPr>
              <w:adjustRightInd w:val="0"/>
              <w:snapToGrid w:val="0"/>
              <w:rPr>
                <w:caps/>
                <w:sz w:val="28"/>
              </w:rPr>
            </w:pPr>
          </w:p>
          <w:p>
            <w:pPr>
              <w:adjustRightInd w:val="0"/>
              <w:snapToGrid w:val="0"/>
              <w:rPr>
                <w:caps/>
                <w:sz w:val="28"/>
              </w:rPr>
            </w:pPr>
            <w:r>
              <w:rPr>
                <w:rFonts w:hint="eastAsia"/>
                <w:caps/>
                <w:sz w:val="28"/>
              </w:rPr>
              <w:t>经办人：                               年       月     日</w:t>
            </w:r>
          </w:p>
          <w:p>
            <w:pPr>
              <w:adjustRightInd w:val="0"/>
              <w:snapToGrid w:val="0"/>
              <w:spacing w:before="156"/>
            </w:pPr>
          </w:p>
          <w:p>
            <w:r>
              <w:br w:type="pag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655" w:hRule="atLeast"/>
        </w:trPr>
        <w:tc>
          <w:tcPr>
            <w:tcW w:w="8522" w:type="dxa"/>
          </w:tcPr>
          <w:p>
            <w:pPr>
              <w:adjustRightInd w:val="0"/>
              <w:snapToGrid w:val="0"/>
              <w:rPr>
                <w:caps/>
                <w:sz w:val="28"/>
              </w:rPr>
            </w:pPr>
            <w:r>
              <w:rPr>
                <w:rFonts w:hint="eastAsia"/>
                <w:caps/>
                <w:sz w:val="28"/>
              </w:rPr>
              <w:t>审批意见：</w:t>
            </w: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pPr>
            <w:r>
              <w:rPr>
                <w:rFonts w:hint="eastAsia"/>
                <w:caps/>
                <w:sz w:val="28"/>
              </w:rPr>
              <w:t xml:space="preserve"> </w:t>
            </w: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p>
          <w:p>
            <w:pPr>
              <w:adjustRightInd w:val="0"/>
              <w:snapToGrid w:val="0"/>
              <w:rPr>
                <w:caps/>
                <w:sz w:val="28"/>
              </w:rPr>
            </w:pPr>
            <w:r>
              <w:rPr>
                <w:rFonts w:hint="eastAsia"/>
                <w:caps/>
                <w:sz w:val="28"/>
              </w:rPr>
              <w:t>公章</w:t>
            </w:r>
          </w:p>
          <w:p>
            <w:pPr>
              <w:adjustRightInd w:val="0"/>
              <w:snapToGrid w:val="0"/>
              <w:rPr>
                <w:caps/>
                <w:sz w:val="28"/>
              </w:rPr>
            </w:pPr>
          </w:p>
          <w:p>
            <w:pPr>
              <w:adjustRightInd w:val="0"/>
              <w:snapToGrid w:val="0"/>
              <w:rPr>
                <w:caps/>
                <w:sz w:val="28"/>
              </w:rPr>
            </w:pPr>
            <w:r>
              <w:rPr>
                <w:rFonts w:hint="eastAsia"/>
                <w:caps/>
                <w:sz w:val="28"/>
              </w:rPr>
              <w:t>经办人：                           年      月        日</w:t>
            </w:r>
          </w:p>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tcPr>
          <w:p>
            <w:pPr>
              <w:adjustRightInd w:val="0"/>
              <w:snapToGrid w:val="0"/>
              <w:jc w:val="center"/>
              <w:rPr>
                <w:sz w:val="36"/>
              </w:rPr>
            </w:pPr>
            <w:r>
              <w:rPr>
                <w:rFonts w:hint="eastAsia"/>
                <w:sz w:val="36"/>
              </w:rPr>
              <w:t>注 释</w:t>
            </w:r>
          </w:p>
          <w:p>
            <w:pPr>
              <w:adjustRightInd w:val="0"/>
              <w:snapToGrid w:val="0"/>
              <w:rPr>
                <w:sz w:val="28"/>
              </w:rPr>
            </w:pPr>
          </w:p>
          <w:p>
            <w:pPr>
              <w:spacing w:line="276" w:lineRule="auto"/>
              <w:ind w:firstLine="480" w:firstLineChars="200"/>
              <w:rPr>
                <w:sz w:val="24"/>
              </w:rPr>
            </w:pPr>
            <w:r>
              <w:rPr>
                <w:sz w:val="24"/>
              </w:rPr>
              <w:t>一、本报告表应附以下附件、附图：</w:t>
            </w:r>
          </w:p>
          <w:p>
            <w:pPr>
              <w:spacing w:line="276" w:lineRule="auto"/>
              <w:ind w:firstLine="480" w:firstLineChars="200"/>
              <w:rPr>
                <w:sz w:val="24"/>
              </w:rPr>
            </w:pPr>
            <w:r>
              <w:rPr>
                <w:sz w:val="24"/>
              </w:rPr>
              <w:t>附图</w:t>
            </w:r>
            <w:r>
              <w:rPr>
                <w:rFonts w:hint="eastAsia"/>
                <w:sz w:val="24"/>
                <w:lang w:val="en-US" w:eastAsia="zh-CN"/>
              </w:rPr>
              <w:t>1</w:t>
            </w:r>
            <w:r>
              <w:rPr>
                <w:sz w:val="24"/>
              </w:rPr>
              <w:t xml:space="preserve">  项目地理位置图</w:t>
            </w:r>
          </w:p>
          <w:p>
            <w:pPr>
              <w:spacing w:line="276" w:lineRule="auto"/>
              <w:ind w:firstLine="480" w:firstLineChars="200"/>
              <w:rPr>
                <w:sz w:val="24"/>
              </w:rPr>
            </w:pPr>
            <w:r>
              <w:rPr>
                <w:sz w:val="24"/>
              </w:rPr>
              <w:t>附图</w:t>
            </w:r>
            <w:r>
              <w:rPr>
                <w:rFonts w:hint="eastAsia"/>
                <w:sz w:val="24"/>
                <w:lang w:val="en-US" w:eastAsia="zh-CN"/>
              </w:rPr>
              <w:t>2</w:t>
            </w:r>
            <w:r>
              <w:rPr>
                <w:sz w:val="24"/>
              </w:rPr>
              <w:t xml:space="preserve">  </w:t>
            </w:r>
            <w:r>
              <w:rPr>
                <w:rFonts w:hint="eastAsia"/>
                <w:sz w:val="24"/>
              </w:rPr>
              <w:t>项目四至及噪声监测布点图</w:t>
            </w:r>
          </w:p>
          <w:p>
            <w:pPr>
              <w:spacing w:line="276" w:lineRule="auto"/>
              <w:ind w:firstLine="480" w:firstLineChars="200"/>
              <w:rPr>
                <w:sz w:val="24"/>
              </w:rPr>
            </w:pPr>
            <w:r>
              <w:rPr>
                <w:sz w:val="24"/>
              </w:rPr>
              <w:t>附图</w:t>
            </w:r>
            <w:r>
              <w:rPr>
                <w:rFonts w:hint="eastAsia"/>
                <w:sz w:val="24"/>
                <w:lang w:val="en-US" w:eastAsia="zh-CN"/>
              </w:rPr>
              <w:t>3</w:t>
            </w:r>
            <w:r>
              <w:rPr>
                <w:sz w:val="24"/>
              </w:rPr>
              <w:t xml:space="preserve">  </w:t>
            </w:r>
            <w:r>
              <w:rPr>
                <w:rFonts w:hint="eastAsia"/>
                <w:sz w:val="24"/>
              </w:rPr>
              <w:t>周边环境现状图</w:t>
            </w:r>
          </w:p>
          <w:p>
            <w:pPr>
              <w:spacing w:line="276" w:lineRule="auto"/>
              <w:ind w:firstLine="480" w:firstLineChars="200"/>
              <w:rPr>
                <w:sz w:val="24"/>
              </w:rPr>
            </w:pPr>
            <w:r>
              <w:rPr>
                <w:sz w:val="24"/>
              </w:rPr>
              <w:t>附图</w:t>
            </w:r>
            <w:r>
              <w:rPr>
                <w:rFonts w:hint="eastAsia"/>
                <w:sz w:val="24"/>
                <w:lang w:val="en-US" w:eastAsia="zh-CN"/>
              </w:rPr>
              <w:t>4</w:t>
            </w:r>
            <w:r>
              <w:rPr>
                <w:sz w:val="24"/>
              </w:rPr>
              <w:t xml:space="preserve">  </w:t>
            </w:r>
            <w:r>
              <w:rPr>
                <w:rFonts w:hint="eastAsia"/>
                <w:sz w:val="24"/>
              </w:rPr>
              <w:t>周边敏感点图</w:t>
            </w:r>
          </w:p>
          <w:p>
            <w:pPr>
              <w:spacing w:line="276" w:lineRule="auto"/>
              <w:ind w:firstLine="480" w:firstLineChars="200"/>
              <w:rPr>
                <w:sz w:val="24"/>
              </w:rPr>
            </w:pPr>
            <w:r>
              <w:rPr>
                <w:sz w:val="24"/>
              </w:rPr>
              <w:t>附图</w:t>
            </w:r>
            <w:r>
              <w:rPr>
                <w:rFonts w:hint="eastAsia"/>
                <w:sz w:val="24"/>
                <w:lang w:val="en-US" w:eastAsia="zh-CN"/>
              </w:rPr>
              <w:t>5</w:t>
            </w:r>
            <w:r>
              <w:rPr>
                <w:sz w:val="24"/>
              </w:rPr>
              <w:t xml:space="preserve">  </w:t>
            </w:r>
            <w:r>
              <w:rPr>
                <w:rFonts w:hint="eastAsia"/>
                <w:sz w:val="24"/>
              </w:rPr>
              <w:t>平面布置图</w:t>
            </w:r>
          </w:p>
          <w:p>
            <w:pPr>
              <w:spacing w:line="276" w:lineRule="auto"/>
              <w:ind w:firstLine="480" w:firstLineChars="200"/>
              <w:rPr>
                <w:sz w:val="24"/>
              </w:rPr>
            </w:pPr>
            <w:r>
              <w:rPr>
                <w:sz w:val="24"/>
              </w:rPr>
              <w:t>附图</w:t>
            </w:r>
            <w:r>
              <w:rPr>
                <w:rFonts w:hint="eastAsia"/>
                <w:sz w:val="24"/>
                <w:lang w:val="en-US" w:eastAsia="zh-CN"/>
              </w:rPr>
              <w:t>6</w:t>
            </w:r>
            <w:r>
              <w:rPr>
                <w:sz w:val="24"/>
              </w:rPr>
              <w:t xml:space="preserve">  </w:t>
            </w:r>
            <w:r>
              <w:rPr>
                <w:rFonts w:hint="eastAsia"/>
                <w:sz w:val="24"/>
              </w:rPr>
              <w:t>与水源保护区位置分布图</w:t>
            </w:r>
          </w:p>
          <w:p>
            <w:pPr>
              <w:spacing w:line="276" w:lineRule="auto"/>
              <w:ind w:firstLine="480" w:firstLineChars="200"/>
              <w:rPr>
                <w:rFonts w:hint="eastAsia"/>
                <w:sz w:val="24"/>
              </w:rPr>
            </w:pPr>
            <w:r>
              <w:rPr>
                <w:rFonts w:hint="eastAsia"/>
                <w:sz w:val="24"/>
              </w:rPr>
              <w:t>附图</w:t>
            </w:r>
            <w:r>
              <w:rPr>
                <w:rFonts w:hint="eastAsia"/>
                <w:sz w:val="24"/>
                <w:lang w:val="en-US" w:eastAsia="zh-CN"/>
              </w:rPr>
              <w:t>7</w:t>
            </w:r>
            <w:r>
              <w:rPr>
                <w:rFonts w:hint="eastAsia"/>
                <w:sz w:val="24"/>
              </w:rPr>
              <w:t xml:space="preserve">  广州市生态保护红线规划图</w:t>
            </w:r>
          </w:p>
          <w:p>
            <w:pPr>
              <w:spacing w:line="276" w:lineRule="auto"/>
              <w:ind w:firstLine="480" w:firstLineChars="200"/>
              <w:rPr>
                <w:sz w:val="24"/>
              </w:rPr>
            </w:pPr>
            <w:r>
              <w:rPr>
                <w:rFonts w:hint="eastAsia"/>
                <w:sz w:val="24"/>
              </w:rPr>
              <w:t>附图8  广州市生态环境空间管控图</w:t>
            </w:r>
          </w:p>
          <w:p>
            <w:pPr>
              <w:spacing w:line="276" w:lineRule="auto"/>
              <w:ind w:firstLine="480" w:firstLineChars="200"/>
              <w:rPr>
                <w:sz w:val="24"/>
              </w:rPr>
            </w:pPr>
            <w:r>
              <w:rPr>
                <w:sz w:val="24"/>
              </w:rPr>
              <w:t>附图</w:t>
            </w:r>
            <w:r>
              <w:rPr>
                <w:rFonts w:hint="eastAsia"/>
                <w:sz w:val="24"/>
                <w:lang w:val="en-US" w:eastAsia="zh-CN"/>
              </w:rPr>
              <w:t>9</w:t>
            </w:r>
            <w:r>
              <w:rPr>
                <w:sz w:val="24"/>
              </w:rPr>
              <w:t xml:space="preserve"> </w:t>
            </w:r>
            <w:r>
              <w:rPr>
                <w:rFonts w:hint="eastAsia"/>
                <w:sz w:val="24"/>
              </w:rPr>
              <w:t xml:space="preserve"> 广州市大气环境空间管控区图</w:t>
            </w:r>
          </w:p>
          <w:p>
            <w:pPr>
              <w:spacing w:line="276" w:lineRule="auto"/>
              <w:ind w:firstLine="480" w:firstLineChars="200"/>
              <w:rPr>
                <w:sz w:val="24"/>
              </w:rPr>
            </w:pPr>
            <w:r>
              <w:rPr>
                <w:sz w:val="24"/>
              </w:rPr>
              <w:t>附图</w:t>
            </w:r>
            <w:r>
              <w:rPr>
                <w:rFonts w:hint="eastAsia"/>
                <w:sz w:val="24"/>
                <w:lang w:val="en-US" w:eastAsia="zh-CN"/>
              </w:rPr>
              <w:t>10</w:t>
            </w:r>
            <w:r>
              <w:rPr>
                <w:sz w:val="24"/>
              </w:rPr>
              <w:t xml:space="preserve"> </w:t>
            </w:r>
            <w:r>
              <w:rPr>
                <w:rFonts w:hint="eastAsia"/>
                <w:sz w:val="24"/>
              </w:rPr>
              <w:t>广州市水环境空间管控区图</w:t>
            </w:r>
          </w:p>
          <w:p>
            <w:pPr>
              <w:spacing w:line="276" w:lineRule="auto"/>
              <w:ind w:firstLine="480" w:firstLineChars="200"/>
              <w:rPr>
                <w:sz w:val="24"/>
              </w:rPr>
            </w:pPr>
            <w:r>
              <w:rPr>
                <w:rFonts w:hint="eastAsia"/>
                <w:sz w:val="24"/>
              </w:rPr>
              <w:t>附图</w:t>
            </w:r>
            <w:r>
              <w:rPr>
                <w:rFonts w:hint="eastAsia"/>
                <w:sz w:val="24"/>
                <w:lang w:val="en-US" w:eastAsia="zh-CN"/>
              </w:rPr>
              <w:t>11</w:t>
            </w:r>
            <w:r>
              <w:rPr>
                <w:rFonts w:hint="eastAsia"/>
                <w:sz w:val="24"/>
              </w:rPr>
              <w:t xml:space="preserve"> 广州市环境空气质量功能区划图</w:t>
            </w:r>
          </w:p>
          <w:p>
            <w:pPr>
              <w:spacing w:line="276" w:lineRule="auto"/>
              <w:ind w:firstLine="480" w:firstLineChars="200"/>
              <w:rPr>
                <w:sz w:val="24"/>
              </w:rPr>
            </w:pPr>
            <w:r>
              <w:rPr>
                <w:rFonts w:hint="eastAsia"/>
                <w:sz w:val="24"/>
              </w:rPr>
              <w:t>附图</w:t>
            </w:r>
            <w:r>
              <w:rPr>
                <w:rFonts w:hint="eastAsia"/>
                <w:sz w:val="24"/>
                <w:lang w:val="en-US" w:eastAsia="zh-CN"/>
              </w:rPr>
              <w:t>12</w:t>
            </w:r>
            <w:r>
              <w:rPr>
                <w:rFonts w:hint="eastAsia"/>
                <w:sz w:val="24"/>
              </w:rPr>
              <w:t>广州市白云区环境噪声功能区划图</w:t>
            </w:r>
          </w:p>
          <w:p>
            <w:pPr>
              <w:spacing w:line="276" w:lineRule="auto"/>
              <w:ind w:firstLine="480" w:firstLineChars="200"/>
              <w:rPr>
                <w:sz w:val="24"/>
              </w:rPr>
            </w:pPr>
            <w:r>
              <w:rPr>
                <w:sz w:val="24"/>
              </w:rPr>
              <w:t>附件1  营业执照</w:t>
            </w:r>
          </w:p>
          <w:p>
            <w:pPr>
              <w:spacing w:line="276" w:lineRule="auto"/>
              <w:ind w:firstLine="480" w:firstLineChars="200"/>
              <w:rPr>
                <w:sz w:val="24"/>
              </w:rPr>
            </w:pPr>
            <w:r>
              <w:rPr>
                <w:sz w:val="24"/>
              </w:rPr>
              <w:t>附件2  法人身份证</w:t>
            </w:r>
          </w:p>
          <w:p>
            <w:pPr>
              <w:spacing w:line="276" w:lineRule="auto"/>
              <w:ind w:firstLine="480" w:firstLineChars="200"/>
              <w:rPr>
                <w:sz w:val="24"/>
              </w:rPr>
            </w:pPr>
            <w:r>
              <w:rPr>
                <w:sz w:val="24"/>
              </w:rPr>
              <w:t>附件3  租赁合同</w:t>
            </w:r>
          </w:p>
          <w:p>
            <w:pPr>
              <w:spacing w:line="276" w:lineRule="auto"/>
              <w:ind w:firstLine="480" w:firstLineChars="200"/>
              <w:rPr>
                <w:sz w:val="24"/>
              </w:rPr>
            </w:pPr>
            <w:r>
              <w:rPr>
                <w:sz w:val="24"/>
              </w:rPr>
              <w:t>附件4  住所（经营场所）场地使用证明</w:t>
            </w:r>
          </w:p>
          <w:p>
            <w:pPr>
              <w:spacing w:line="276" w:lineRule="auto"/>
              <w:ind w:firstLine="480" w:firstLineChars="200"/>
              <w:rPr>
                <w:sz w:val="24"/>
              </w:rPr>
            </w:pPr>
            <w:r>
              <w:rPr>
                <w:sz w:val="24"/>
              </w:rPr>
              <w:t xml:space="preserve">附件5  </w:t>
            </w:r>
            <w:r>
              <w:rPr>
                <w:rFonts w:hint="eastAsia"/>
                <w:sz w:val="24"/>
              </w:rPr>
              <w:t>项目粉末涂料MSDS</w:t>
            </w:r>
          </w:p>
          <w:p>
            <w:pPr>
              <w:spacing w:beforeLines="50" w:line="276" w:lineRule="auto"/>
              <w:ind w:left="238"/>
              <w:rPr>
                <w:sz w:val="24"/>
              </w:rPr>
            </w:pPr>
          </w:p>
          <w:p>
            <w:pPr>
              <w:spacing w:beforeLines="50" w:line="276" w:lineRule="auto"/>
              <w:ind w:left="238"/>
              <w:rPr>
                <w:sz w:val="24"/>
              </w:rPr>
            </w:pPr>
            <w:r>
              <w:rPr>
                <w:sz w:val="24"/>
              </w:rPr>
              <w:t>二、如果本报告表不能说明项目产生的污染及对环境造成的影响，应进行专项评价。根据建设项目的特点和当地环境特征，应选下列1—2项进行专项评价。</w:t>
            </w:r>
          </w:p>
          <w:p>
            <w:pPr>
              <w:spacing w:line="360" w:lineRule="auto"/>
              <w:ind w:firstLine="720"/>
              <w:rPr>
                <w:sz w:val="24"/>
              </w:rPr>
            </w:pPr>
            <w:r>
              <w:rPr>
                <w:sz w:val="24"/>
              </w:rPr>
              <w:t>1. 大气环境影响专项评价</w:t>
            </w:r>
          </w:p>
          <w:p>
            <w:pPr>
              <w:spacing w:line="360" w:lineRule="auto"/>
              <w:ind w:firstLine="720"/>
              <w:rPr>
                <w:sz w:val="24"/>
              </w:rPr>
            </w:pPr>
            <w:r>
              <w:rPr>
                <w:sz w:val="24"/>
              </w:rPr>
              <w:t>2. 水环境影响专项评价(包括地表水和地下水)</w:t>
            </w:r>
          </w:p>
          <w:p>
            <w:pPr>
              <w:spacing w:line="360" w:lineRule="auto"/>
              <w:ind w:firstLine="720"/>
              <w:rPr>
                <w:sz w:val="24"/>
              </w:rPr>
            </w:pPr>
            <w:r>
              <w:rPr>
                <w:sz w:val="24"/>
              </w:rPr>
              <w:t>3. 生态影响专项评价</w:t>
            </w:r>
          </w:p>
          <w:p>
            <w:pPr>
              <w:spacing w:line="360" w:lineRule="auto"/>
              <w:ind w:firstLine="720"/>
              <w:rPr>
                <w:sz w:val="24"/>
              </w:rPr>
            </w:pPr>
            <w:r>
              <w:rPr>
                <w:sz w:val="24"/>
              </w:rPr>
              <w:t>4. 声影响专项评价</w:t>
            </w:r>
          </w:p>
          <w:p>
            <w:pPr>
              <w:spacing w:line="360" w:lineRule="auto"/>
              <w:ind w:firstLine="720"/>
              <w:rPr>
                <w:sz w:val="24"/>
              </w:rPr>
            </w:pPr>
            <w:r>
              <w:rPr>
                <w:sz w:val="24"/>
              </w:rPr>
              <w:t>5. 土壤影响专项评价</w:t>
            </w:r>
          </w:p>
          <w:p>
            <w:pPr>
              <w:spacing w:line="360" w:lineRule="auto"/>
              <w:ind w:firstLine="720"/>
              <w:rPr>
                <w:sz w:val="24"/>
              </w:rPr>
            </w:pPr>
            <w:r>
              <w:rPr>
                <w:sz w:val="24"/>
              </w:rPr>
              <w:t>6. 固体废弃物影响专项评价</w:t>
            </w:r>
          </w:p>
          <w:p>
            <w:pPr>
              <w:spacing w:line="276" w:lineRule="auto"/>
              <w:ind w:firstLine="480" w:firstLineChars="200"/>
              <w:rPr>
                <w:sz w:val="24"/>
              </w:rPr>
            </w:pPr>
            <w:r>
              <w:rPr>
                <w:sz w:val="24"/>
              </w:rPr>
              <w:t>以上专项评价未包括的可另列专项，专项评价按照《环境影响评价技术导则》中的要求进行。</w:t>
            </w:r>
          </w:p>
          <w:p>
            <w:pPr>
              <w:spacing w:line="276" w:lineRule="auto"/>
              <w:ind w:firstLine="480" w:firstLineChars="200"/>
              <w:rPr>
                <w:sz w:val="24"/>
              </w:rPr>
            </w:pPr>
          </w:p>
          <w:p>
            <w:pPr>
              <w:spacing w:line="276" w:lineRule="auto"/>
              <w:ind w:firstLine="480" w:firstLineChars="200"/>
              <w:rPr>
                <w:rStyle w:val="19"/>
                <w:kern w:val="0"/>
                <w:sz w:val="24"/>
                <w:szCs w:val="24"/>
              </w:rPr>
            </w:pPr>
          </w:p>
          <w:p>
            <w:pPr>
              <w:spacing w:line="276" w:lineRule="auto"/>
              <w:ind w:firstLine="480" w:firstLineChars="200"/>
              <w:rPr>
                <w:rStyle w:val="19"/>
                <w:kern w:val="0"/>
                <w:sz w:val="24"/>
                <w:szCs w:val="24"/>
              </w:rPr>
            </w:pPr>
          </w:p>
          <w:p/>
        </w:tc>
      </w:tr>
    </w:tbl>
    <w:p>
      <w:pPr>
        <w:sectPr>
          <w:pgSz w:w="11906" w:h="16838"/>
          <w:pgMar w:top="1440" w:right="1800" w:bottom="1440" w:left="1800" w:header="851" w:footer="992" w:gutter="0"/>
          <w:pgNumType w:fmt="decimal"/>
          <w:cols w:space="425" w:num="1"/>
          <w:docGrid w:type="lines" w:linePitch="312" w:charSpace="0"/>
        </w:sectPr>
      </w:pPr>
    </w:p>
    <w:p>
      <w:pPr>
        <w:rPr>
          <w:rFonts w:hint="eastAsia"/>
          <w:b/>
          <w:bdr w:val="single" w:color="auto" w:sz="4" w:space="0"/>
        </w:rPr>
      </w:pPr>
      <w:bookmarkStart w:id="7" w:name="_Hlk483251465"/>
      <w:bookmarkEnd w:id="7"/>
      <w:r>
        <w:rPr>
          <w:b/>
          <w:bdr w:val="single" w:color="auto" w:sz="4" w:space="0"/>
        </w:rPr>
        <w:drawing>
          <wp:inline distT="0" distB="0" distL="0" distR="0">
            <wp:extent cx="8478520" cy="5497830"/>
            <wp:effectExtent l="19050" t="0" r="0" b="0"/>
            <wp:docPr id="5" name="图片 5" descr="C:\Users\Administrator\AppData\Roaming\Tencent\Users\1207243098\QQ\WinTemp\RichOle\@_ZD`ICKWO0ZE67]50DPR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Tencent\Users\1207243098\QQ\WinTemp\RichOle\@_ZD`ICKWO0ZE67]50DPREB.png"/>
                    <pic:cNvPicPr>
                      <a:picLocks noChangeAspect="1" noChangeArrowheads="1"/>
                    </pic:cNvPicPr>
                  </pic:nvPicPr>
                  <pic:blipFill>
                    <a:blip r:embed="rId13" cstate="print"/>
                    <a:srcRect/>
                    <a:stretch>
                      <a:fillRect/>
                    </a:stretch>
                  </pic:blipFill>
                  <pic:spPr>
                    <a:xfrm>
                      <a:off x="0" y="0"/>
                      <a:ext cx="8478763" cy="5498368"/>
                    </a:xfrm>
                    <a:prstGeom prst="rect">
                      <a:avLst/>
                    </a:prstGeom>
                    <a:noFill/>
                    <a:ln w="9525">
                      <a:noFill/>
                      <a:miter lim="800000"/>
                      <a:headEnd/>
                      <a:tailEnd/>
                    </a:ln>
                  </pic:spPr>
                </pic:pic>
              </a:graphicData>
            </a:graphic>
          </wp:inline>
        </w:drawing>
      </w:r>
    </w:p>
    <w:p>
      <w:pPr>
        <w:rPr>
          <w:rFonts w:hint="eastAsia"/>
          <w:b/>
          <w:bdr w:val="single" w:color="auto" w:sz="4" w:space="0"/>
        </w:rPr>
      </w:pPr>
    </w:p>
    <w:p>
      <w:pPr>
        <w:jc w:val="center"/>
        <w:rPr>
          <w:b/>
          <w:bdr w:val="single" w:color="auto" w:sz="4" w:space="0"/>
        </w:rPr>
      </w:pPr>
      <w:r>
        <w:rPr>
          <w:b/>
        </w:rPr>
        <w:pict>
          <v:shape id="_x0000_s1027" o:spid="_x0000_s1027" o:spt="3" type="#_x0000_t3" style="position:absolute;left:0pt;margin-left:590.3pt;margin-top:417.7pt;height:8.15pt;width:8.85pt;z-index:251676672;v-text-anchor:middle;mso-width-relative:page;mso-height-relative:page;" fillcolor="#FF0000" filled="t" stroked="t" coordsize="21600,21600" o:gfxdata="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b/+a3YAAAADQEA&#10;AA8AAAAAAAAAAQAgAAAAIgAAAGRycy9kb3ducmV2LnhtbFBLAQIUABQAAAAIAIdO4kCmX3/BGgIA&#10;ADYEAAAOAAAAAAAAAAEAIAAAACcBAABkcnMvZTJvRG9jLnhtbFBLBQYAAAAABgAGAFkBAACzBQAA&#10;AAA=&#10;">
            <v:path/>
            <v:fill on="t" focussize="0,0"/>
            <v:stroke weight="1pt" color="#FF0000" joinstyle="miter"/>
            <v:imagedata o:title=""/>
            <o:lock v:ext="edit"/>
          </v:shape>
        </w:pict>
      </w:r>
      <w:r>
        <w:rPr>
          <w:b/>
        </w:rPr>
        <w:pict>
          <v:shape id="_x0000_s1028" o:spid="_x0000_s1028" o:spt="202" type="#_x0000_t202" style="position:absolute;left:0pt;margin-left:508.2pt;margin-top:398.6pt;height:41.55pt;width:188.55pt;z-index:251675648;mso-width-relative:page;mso-height-relative:page;" coordsize="21600,21600" o:gfxdata="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4AtumNkAAAANAQAADwAAAAAAAAABACAAAAAiAAAAZHJzL2Rvd25yZXYueG1sUEsB&#10;AhQAFAAAAAgAh07iQK6u1OktAgAASwQAAA4AAAAAAAAAAQAgAAAAKAEAAGRycy9lMm9Eb2MueG1s&#10;UEsFBgAAAAAGAAYAWQEAAMcFAAAAAA==&#10;">
            <v:path/>
            <v:fill focussize="0,0"/>
            <v:stroke weight="0.5pt" joinstyle="miter"/>
            <v:imagedata o:title=""/>
            <o:lock v:ext="edit"/>
            <v:textbox>
              <w:txbxContent>
                <w:p>
                  <w:pPr>
                    <w:rPr>
                      <w:sz w:val="24"/>
                    </w:rPr>
                  </w:pPr>
                  <w:r>
                    <w:rPr>
                      <w:rFonts w:hint="eastAsia"/>
                      <w:sz w:val="24"/>
                    </w:rPr>
                    <w:t>图例</w:t>
                  </w:r>
                </w:p>
                <w:p>
                  <w:pPr>
                    <w:rPr>
                      <w:sz w:val="24"/>
                    </w:rPr>
                  </w:pPr>
                  <w:r>
                    <w:rPr>
                      <w:rFonts w:hint="eastAsia"/>
                      <w:sz w:val="24"/>
                    </w:rPr>
                    <w:t>项目所在地：</w:t>
                  </w:r>
                </w:p>
              </w:txbxContent>
            </v:textbox>
          </v:shape>
        </w:pict>
      </w:r>
      <w:r>
        <w:rPr>
          <w:rFonts w:hint="eastAsia"/>
          <w:b/>
          <w:sz w:val="24"/>
          <w:szCs w:val="32"/>
        </w:rPr>
        <w:t>附图</w:t>
      </w:r>
      <w:r>
        <w:rPr>
          <w:rFonts w:hint="eastAsia"/>
          <w:b/>
          <w:sz w:val="24"/>
          <w:szCs w:val="32"/>
          <w:lang w:val="en-US" w:eastAsia="zh-CN"/>
        </w:rPr>
        <w:t xml:space="preserve">1 </w:t>
      </w:r>
      <w:r>
        <w:rPr>
          <w:rFonts w:hint="eastAsia"/>
          <w:b/>
          <w:sz w:val="24"/>
          <w:szCs w:val="32"/>
        </w:rPr>
        <w:t xml:space="preserve"> 项目地理位置图</w:t>
      </w:r>
    </w:p>
    <w:p>
      <w:pPr>
        <w:rPr>
          <w:b/>
          <w:sz w:val="24"/>
          <w:szCs w:val="32"/>
        </w:rPr>
      </w:pPr>
    </w:p>
    <w:p>
      <w:pPr>
        <w:jc w:val="center"/>
      </w:pPr>
      <w:r>
        <w:rPr>
          <w:bdr w:val="single" w:sz="4" w:space="0"/>
          <w:shd w:val="clear" w:color="auto" w:fill="auto"/>
        </w:rPr>
        <w:drawing>
          <wp:inline distT="0" distB="0" distL="114300" distR="114300">
            <wp:extent cx="7981950" cy="4914900"/>
            <wp:effectExtent l="0" t="0" r="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4"/>
                    <a:stretch>
                      <a:fillRect/>
                    </a:stretch>
                  </pic:blipFill>
                  <pic:spPr>
                    <a:xfrm>
                      <a:off x="0" y="0"/>
                      <a:ext cx="7981950" cy="4914900"/>
                    </a:xfrm>
                    <a:prstGeom prst="rect">
                      <a:avLst/>
                    </a:prstGeom>
                    <a:noFill/>
                    <a:ln>
                      <a:noFill/>
                    </a:ln>
                  </pic:spPr>
                </pic:pic>
              </a:graphicData>
            </a:graphic>
          </wp:inline>
        </w:drawing>
      </w:r>
    </w:p>
    <w:p>
      <w:pPr>
        <w:jc w:val="center"/>
        <w:rPr>
          <w:b/>
          <w:sz w:val="24"/>
          <w:szCs w:val="32"/>
        </w:rPr>
      </w:pPr>
      <w:r>
        <w:rPr>
          <w:rFonts w:hint="eastAsia"/>
          <w:b/>
          <w:sz w:val="24"/>
          <w:szCs w:val="32"/>
        </w:rPr>
        <w:t>附图</w:t>
      </w:r>
      <w:r>
        <w:rPr>
          <w:rFonts w:hint="eastAsia"/>
          <w:b/>
          <w:sz w:val="24"/>
          <w:szCs w:val="32"/>
          <w:lang w:val="en-US" w:eastAsia="zh-CN"/>
        </w:rPr>
        <w:t xml:space="preserve">2 </w:t>
      </w:r>
      <w:r>
        <w:rPr>
          <w:rFonts w:hint="eastAsia"/>
          <w:b/>
          <w:sz w:val="24"/>
          <w:szCs w:val="32"/>
        </w:rPr>
        <w:t xml:space="preserve"> 项目四至及噪声监测布点图</w:t>
      </w:r>
    </w:p>
    <w:p>
      <w:pPr>
        <w:pStyle w:val="2"/>
        <w:sectPr>
          <w:pgSz w:w="16838" w:h="11906" w:orient="landscape"/>
          <w:pgMar w:top="960" w:right="1440" w:bottom="1286" w:left="1440" w:header="851" w:footer="992" w:gutter="0"/>
          <w:pgNumType w:fmt="decimal"/>
          <w:cols w:space="720" w:num="1"/>
          <w:docGrid w:type="lines" w:linePitch="312" w:charSpace="0"/>
        </w:sectPr>
      </w:pPr>
    </w:p>
    <w:p>
      <w:pPr>
        <w:jc w:val="center"/>
        <w:rPr>
          <w:rFonts w:hint="eastAsia"/>
          <w:b/>
          <w:sz w:val="24"/>
        </w:rPr>
      </w:pPr>
    </w:p>
    <w:p>
      <w:pPr>
        <w:jc w:val="center"/>
        <w:rPr>
          <w:rFonts w:hint="eastAsia"/>
          <w:b/>
          <w:sz w:val="24"/>
        </w:rPr>
      </w:pPr>
    </w:p>
    <w:p>
      <w:pPr>
        <w:jc w:val="center"/>
        <w:rPr>
          <w:rFonts w:hint="eastAsia"/>
          <w:b/>
          <w:sz w:val="24"/>
        </w:rPr>
      </w:pPr>
    </w:p>
    <w:p>
      <w:pPr>
        <w:jc w:val="center"/>
        <w:rPr>
          <w:rFonts w:hint="eastAsia"/>
          <w:b/>
          <w:sz w:val="24"/>
        </w:rPr>
      </w:pPr>
    </w:p>
    <w:tbl>
      <w:tblPr>
        <w:tblStyle w:val="15"/>
        <w:tblW w:w="98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8"/>
        <w:gridCol w:w="4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38" w:type="dxa"/>
          </w:tcPr>
          <w:p>
            <w:pPr>
              <w:rPr>
                <w:b/>
              </w:rPr>
            </w:pPr>
            <w:r>
              <w:rPr>
                <w:b/>
              </w:rPr>
              <w:drawing>
                <wp:inline distT="0" distB="0" distL="114300" distR="114300">
                  <wp:extent cx="2988310" cy="2242820"/>
                  <wp:effectExtent l="0" t="0" r="2540" b="5080"/>
                  <wp:docPr id="66" name="图片 6" descr="C:\Users\sunwei\AppData\Local\Microsoft\Windows\INetCache\Content.Word\IMG_5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descr="C:\Users\sunwei\AppData\Local\Microsoft\Windows\INetCache\Content.Word\IMG_5067.jpg"/>
                          <pic:cNvPicPr>
                            <a:picLocks noChangeAspect="1"/>
                          </pic:cNvPicPr>
                        </pic:nvPicPr>
                        <pic:blipFill>
                          <a:blip r:embed="rId15" cstate="print"/>
                          <a:stretch>
                            <a:fillRect/>
                          </a:stretch>
                        </pic:blipFill>
                        <pic:spPr>
                          <a:xfrm>
                            <a:off x="0" y="0"/>
                            <a:ext cx="2988310" cy="2242820"/>
                          </a:xfrm>
                          <a:prstGeom prst="rect">
                            <a:avLst/>
                          </a:prstGeom>
                          <a:noFill/>
                          <a:ln w="9525">
                            <a:noFill/>
                          </a:ln>
                        </pic:spPr>
                      </pic:pic>
                    </a:graphicData>
                  </a:graphic>
                </wp:inline>
              </w:drawing>
            </w:r>
          </w:p>
        </w:tc>
        <w:tc>
          <w:tcPr>
            <w:tcW w:w="4938" w:type="dxa"/>
          </w:tcPr>
          <w:p>
            <w:pPr>
              <w:rPr>
                <w:b/>
              </w:rPr>
            </w:pPr>
            <w:r>
              <w:rPr>
                <w:b/>
              </w:rPr>
              <w:drawing>
                <wp:inline distT="0" distB="0" distL="114300" distR="114300">
                  <wp:extent cx="2993390" cy="2247265"/>
                  <wp:effectExtent l="0" t="0" r="16510" b="635"/>
                  <wp:docPr id="67" name="图片 7" descr="C:\Users\sunwei\AppData\Local\Microsoft\Windows\INetCache\Content.Word\IMG_5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descr="C:\Users\sunwei\AppData\Local\Microsoft\Windows\INetCache\Content.Word\IMG_5072.jpg"/>
                          <pic:cNvPicPr>
                            <a:picLocks noChangeAspect="1"/>
                          </pic:cNvPicPr>
                        </pic:nvPicPr>
                        <pic:blipFill>
                          <a:blip r:embed="rId16" cstate="print"/>
                          <a:stretch>
                            <a:fillRect/>
                          </a:stretch>
                        </pic:blipFill>
                        <pic:spPr>
                          <a:xfrm>
                            <a:off x="0" y="0"/>
                            <a:ext cx="2993390" cy="22472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38" w:type="dxa"/>
          </w:tcPr>
          <w:p>
            <w:pPr>
              <w:jc w:val="center"/>
              <w:rPr>
                <w:b/>
              </w:rPr>
            </w:pPr>
            <w:r>
              <w:rPr>
                <w:rFonts w:hint="eastAsia"/>
                <w:b/>
              </w:rPr>
              <w:t>项目东面</w:t>
            </w:r>
          </w:p>
        </w:tc>
        <w:tc>
          <w:tcPr>
            <w:tcW w:w="4938" w:type="dxa"/>
          </w:tcPr>
          <w:p>
            <w:pPr>
              <w:jc w:val="center"/>
              <w:rPr>
                <w:b/>
              </w:rPr>
            </w:pPr>
            <w:r>
              <w:rPr>
                <w:rFonts w:hint="eastAsia"/>
                <w:b/>
              </w:rPr>
              <w:t>项目西面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38" w:type="dxa"/>
          </w:tcPr>
          <w:p>
            <w:pPr>
              <w:jc w:val="center"/>
              <w:rPr>
                <w:b/>
              </w:rPr>
            </w:pPr>
            <w:r>
              <w:rPr>
                <w:b/>
              </w:rPr>
              <w:drawing>
                <wp:inline distT="0" distB="0" distL="114300" distR="114300">
                  <wp:extent cx="3007995" cy="2254250"/>
                  <wp:effectExtent l="0" t="0" r="1905" b="12700"/>
                  <wp:docPr id="68" name="图片 8" descr="C:\Users\sunwei\AppData\Local\Microsoft\Windows\INetCache\Content.Word\IMG_5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descr="C:\Users\sunwei\AppData\Local\Microsoft\Windows\INetCache\Content.Word\IMG_5073.jpg"/>
                          <pic:cNvPicPr>
                            <a:picLocks noChangeAspect="1"/>
                          </pic:cNvPicPr>
                        </pic:nvPicPr>
                        <pic:blipFill>
                          <a:blip r:embed="rId17" cstate="print"/>
                          <a:stretch>
                            <a:fillRect/>
                          </a:stretch>
                        </pic:blipFill>
                        <pic:spPr>
                          <a:xfrm>
                            <a:off x="0" y="0"/>
                            <a:ext cx="3007995" cy="2254250"/>
                          </a:xfrm>
                          <a:prstGeom prst="rect">
                            <a:avLst/>
                          </a:prstGeom>
                          <a:noFill/>
                          <a:ln w="9525">
                            <a:noFill/>
                          </a:ln>
                        </pic:spPr>
                      </pic:pic>
                    </a:graphicData>
                  </a:graphic>
                </wp:inline>
              </w:drawing>
            </w:r>
          </w:p>
        </w:tc>
        <w:tc>
          <w:tcPr>
            <w:tcW w:w="4938" w:type="dxa"/>
          </w:tcPr>
          <w:p>
            <w:pPr>
              <w:jc w:val="center"/>
              <w:rPr>
                <w:b/>
              </w:rPr>
            </w:pPr>
            <w:r>
              <w:rPr>
                <w:b/>
              </w:rPr>
              <w:drawing>
                <wp:inline distT="0" distB="0" distL="114300" distR="114300">
                  <wp:extent cx="2996565" cy="2245995"/>
                  <wp:effectExtent l="0" t="0" r="13335" b="1905"/>
                  <wp:docPr id="69" name="图片 9" descr="C:\Users\sunwei\AppData\Local\Microsoft\Windows\INetCache\Content.Word\IMG_5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descr="C:\Users\sunwei\AppData\Local\Microsoft\Windows\INetCache\Content.Word\IMG_5062.jpg"/>
                          <pic:cNvPicPr>
                            <a:picLocks noChangeAspect="1"/>
                          </pic:cNvPicPr>
                        </pic:nvPicPr>
                        <pic:blipFill>
                          <a:blip r:embed="rId18" cstate="print"/>
                          <a:stretch>
                            <a:fillRect/>
                          </a:stretch>
                        </pic:blipFill>
                        <pic:spPr>
                          <a:xfrm>
                            <a:off x="0" y="0"/>
                            <a:ext cx="2996565" cy="22459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38" w:type="dxa"/>
          </w:tcPr>
          <w:p>
            <w:pPr>
              <w:jc w:val="center"/>
              <w:rPr>
                <w:b/>
              </w:rPr>
            </w:pPr>
            <w:r>
              <w:rPr>
                <w:rFonts w:hint="eastAsia"/>
                <w:b/>
              </w:rPr>
              <w:t>项目北面</w:t>
            </w:r>
          </w:p>
        </w:tc>
        <w:tc>
          <w:tcPr>
            <w:tcW w:w="4938" w:type="dxa"/>
          </w:tcPr>
          <w:p>
            <w:pPr>
              <w:jc w:val="center"/>
              <w:rPr>
                <w:b/>
              </w:rPr>
            </w:pPr>
            <w:r>
              <w:rPr>
                <w:rFonts w:hint="eastAsia"/>
                <w:b/>
              </w:rPr>
              <w:t>项目南面</w:t>
            </w:r>
          </w:p>
        </w:tc>
      </w:tr>
    </w:tbl>
    <w:p>
      <w:pPr>
        <w:jc w:val="center"/>
        <w:rPr>
          <w:rFonts w:hint="eastAsia"/>
          <w:b/>
          <w:sz w:val="24"/>
        </w:rPr>
      </w:pPr>
    </w:p>
    <w:p>
      <w:pPr>
        <w:jc w:val="center"/>
        <w:rPr>
          <w:b/>
          <w:sz w:val="24"/>
        </w:rPr>
      </w:pPr>
      <w:r>
        <w:rPr>
          <w:rFonts w:hint="eastAsia"/>
          <w:b/>
          <w:sz w:val="24"/>
        </w:rPr>
        <w:t>附图</w:t>
      </w:r>
      <w:r>
        <w:rPr>
          <w:rFonts w:hint="eastAsia"/>
          <w:b/>
          <w:sz w:val="24"/>
          <w:lang w:val="en-US" w:eastAsia="zh-CN"/>
        </w:rPr>
        <w:t xml:space="preserve">3 </w:t>
      </w:r>
      <w:r>
        <w:rPr>
          <w:rFonts w:hint="eastAsia"/>
          <w:b/>
          <w:sz w:val="24"/>
        </w:rPr>
        <w:t xml:space="preserve"> 周边环境现状图</w:t>
      </w:r>
    </w:p>
    <w:p>
      <w:pPr>
        <w:rPr>
          <w:b/>
        </w:rPr>
        <w:sectPr>
          <w:pgSz w:w="11906" w:h="16838"/>
          <w:pgMar w:top="1440" w:right="1286" w:bottom="1440" w:left="960" w:header="851" w:footer="992" w:gutter="0"/>
          <w:pgNumType w:fmt="decimal"/>
          <w:cols w:space="720" w:num="1"/>
          <w:docGrid w:type="lines" w:linePitch="312" w:charSpace="0"/>
        </w:sectPr>
      </w:pPr>
    </w:p>
    <w:p>
      <w:pPr>
        <w:jc w:val="center"/>
        <w:rPr>
          <w:rFonts w:hint="eastAsia" w:eastAsia="宋体"/>
          <w:b/>
          <w:sz w:val="24"/>
          <w:szCs w:val="32"/>
          <w:lang w:eastAsia="zh-CN"/>
        </w:rPr>
      </w:pPr>
      <w:r>
        <w:rPr>
          <w:rFonts w:hint="eastAsia" w:eastAsia="宋体"/>
          <w:b/>
          <w:sz w:val="24"/>
          <w:szCs w:val="32"/>
          <w:lang w:eastAsia="zh-CN"/>
        </w:rPr>
        <w:drawing>
          <wp:inline distT="0" distB="0" distL="114300" distR="114300">
            <wp:extent cx="8058150" cy="5662930"/>
            <wp:effectExtent l="0" t="0" r="0" b="13970"/>
            <wp:docPr id="7" name="图片 7" descr="1561024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561024946(1)"/>
                    <pic:cNvPicPr>
                      <a:picLocks noChangeAspect="1"/>
                    </pic:cNvPicPr>
                  </pic:nvPicPr>
                  <pic:blipFill>
                    <a:blip r:embed="rId19"/>
                    <a:stretch>
                      <a:fillRect/>
                    </a:stretch>
                  </pic:blipFill>
                  <pic:spPr>
                    <a:xfrm>
                      <a:off x="0" y="0"/>
                      <a:ext cx="8058150" cy="5662930"/>
                    </a:xfrm>
                    <a:prstGeom prst="rect">
                      <a:avLst/>
                    </a:prstGeom>
                  </pic:spPr>
                </pic:pic>
              </a:graphicData>
            </a:graphic>
          </wp:inline>
        </w:drawing>
      </w:r>
    </w:p>
    <w:p>
      <w:pPr>
        <w:jc w:val="center"/>
      </w:pPr>
      <w:r>
        <w:rPr>
          <w:rFonts w:hint="eastAsia"/>
          <w:b/>
          <w:sz w:val="24"/>
          <w:szCs w:val="32"/>
        </w:rPr>
        <w:t>附图</w:t>
      </w:r>
      <w:r>
        <w:rPr>
          <w:rFonts w:hint="eastAsia"/>
          <w:b/>
          <w:sz w:val="24"/>
          <w:szCs w:val="32"/>
          <w:lang w:val="en-US" w:eastAsia="zh-CN"/>
        </w:rPr>
        <w:t xml:space="preserve">4 </w:t>
      </w:r>
      <w:r>
        <w:rPr>
          <w:rFonts w:hint="eastAsia"/>
          <w:b/>
          <w:sz w:val="24"/>
          <w:szCs w:val="32"/>
        </w:rPr>
        <w:t xml:space="preserve"> 周边敏感点图</w:t>
      </w:r>
    </w:p>
    <w:p>
      <w:pPr>
        <w:rPr>
          <w:b/>
        </w:rPr>
      </w:pPr>
    </w:p>
    <w:p>
      <w:pPr>
        <w:jc w:val="center"/>
        <w:rPr>
          <w:b/>
        </w:rPr>
      </w:pPr>
    </w:p>
    <w:p>
      <w:pPr>
        <w:jc w:val="center"/>
        <w:rPr>
          <w:b/>
        </w:rPr>
      </w:pPr>
      <w:r>
        <w:rPr>
          <w:b/>
        </w:rPr>
        <w:pict>
          <v:rect id="_x0000_s1052" o:spid="_x0000_s1052" o:spt="1" style="position:absolute;left:0pt;margin-left:414.45pt;margin-top:125.85pt;height:96.65pt;width:36.15pt;z-index:251817984;mso-width-relative:page;mso-height-relative:page;" fillcolor="#0000FF" filled="t" stroked="f" coordsize="21600,21600">
            <v:path/>
            <v:fill on="t" color2="#FFFFFF" focussize="0,0"/>
            <v:stroke on="f"/>
            <v:imagedata o:title=""/>
            <o:lock v:ext="edit" aspectratio="f"/>
            <v:textbox>
              <w:txbxContent>
                <w:p>
                  <w:pPr>
                    <w:jc w:val="center"/>
                    <w:rPr>
                      <w:rFonts w:hint="eastAsia"/>
                      <w:b/>
                      <w:sz w:val="24"/>
                      <w:szCs w:val="32"/>
                    </w:rPr>
                  </w:pPr>
                  <w:r>
                    <w:rPr>
                      <w:rFonts w:hint="eastAsia"/>
                      <w:b/>
                      <w:sz w:val="24"/>
                      <w:szCs w:val="32"/>
                    </w:rPr>
                    <w:t>炉</w:t>
                  </w:r>
                </w:p>
                <w:p>
                  <w:pPr>
                    <w:jc w:val="center"/>
                    <w:rPr>
                      <w:rFonts w:hint="eastAsia"/>
                      <w:b/>
                      <w:sz w:val="24"/>
                      <w:szCs w:val="32"/>
                    </w:rPr>
                  </w:pPr>
                  <w:r>
                    <w:rPr>
                      <w:rFonts w:hint="eastAsia"/>
                      <w:b/>
                      <w:sz w:val="24"/>
                      <w:szCs w:val="32"/>
                    </w:rPr>
                    <w:t>窑</w:t>
                  </w:r>
                </w:p>
                <w:p>
                  <w:pPr>
                    <w:jc w:val="center"/>
                    <w:rPr>
                      <w:rFonts w:hint="eastAsia"/>
                      <w:b/>
                      <w:sz w:val="24"/>
                      <w:szCs w:val="32"/>
                    </w:rPr>
                  </w:pPr>
                  <w:r>
                    <w:rPr>
                      <w:rFonts w:hint="eastAsia"/>
                      <w:b/>
                      <w:sz w:val="24"/>
                      <w:szCs w:val="32"/>
                    </w:rPr>
                    <w:t>固</w:t>
                  </w:r>
                </w:p>
                <w:p>
                  <w:pPr>
                    <w:jc w:val="center"/>
                    <w:rPr>
                      <w:rFonts w:hint="eastAsia"/>
                      <w:b/>
                      <w:sz w:val="24"/>
                      <w:szCs w:val="32"/>
                    </w:rPr>
                  </w:pPr>
                  <w:r>
                    <w:rPr>
                      <w:rFonts w:hint="eastAsia"/>
                      <w:b/>
                      <w:sz w:val="24"/>
                      <w:szCs w:val="32"/>
                    </w:rPr>
                    <w:t>化</w:t>
                  </w:r>
                </w:p>
                <w:p>
                  <w:pPr>
                    <w:jc w:val="center"/>
                    <w:rPr>
                      <w:b/>
                      <w:sz w:val="24"/>
                      <w:szCs w:val="32"/>
                    </w:rPr>
                  </w:pPr>
                  <w:r>
                    <w:rPr>
                      <w:rFonts w:hint="eastAsia"/>
                      <w:b/>
                      <w:sz w:val="24"/>
                      <w:szCs w:val="32"/>
                    </w:rPr>
                    <w:t>线</w:t>
                  </w:r>
                </w:p>
                <w:p/>
              </w:txbxContent>
            </v:textbox>
          </v:rect>
        </w:pict>
      </w:r>
      <w:r>
        <w:rPr>
          <w:b/>
        </w:rPr>
        <w:pict>
          <v:rect id="_x0000_s1031" o:spid="_x0000_s1031" o:spt="1" style="position:absolute;left:0pt;margin-left:117.9pt;margin-top:50.85pt;height:23.45pt;width:82.75pt;z-index:251712512;mso-width-relative:page;mso-height-relative:page;" fillcolor="#0000FF" filled="t" stroked="f" coordsize="21600,21600">
            <v:path/>
            <v:fill on="t" color2="#FFFFFF" focussize="0,0"/>
            <v:stroke on="f"/>
            <v:imagedata o:title=""/>
            <o:lock v:ext="edit" aspectratio="f"/>
            <v:textbox>
              <w:txbxContent>
                <w:p>
                  <w:pPr>
                    <w:jc w:val="center"/>
                    <w:rPr>
                      <w:b/>
                      <w:sz w:val="24"/>
                      <w:szCs w:val="32"/>
                    </w:rPr>
                  </w:pPr>
                  <w:r>
                    <w:rPr>
                      <w:rFonts w:hint="eastAsia"/>
                      <w:b/>
                      <w:sz w:val="24"/>
                      <w:szCs w:val="32"/>
                    </w:rPr>
                    <w:t>炉窑固化线</w:t>
                  </w:r>
                </w:p>
              </w:txbxContent>
            </v:textbox>
          </v:rect>
        </w:pict>
      </w:r>
      <w:r>
        <w:rPr>
          <w:sz w:val="21"/>
        </w:rPr>
        <w:pict>
          <v:rect id="_x0000_s1081" o:spid="_x0000_s1081" o:spt="1" style="position:absolute;left:0pt;margin-left:366.55pt;margin-top:152.45pt;height:29.9pt;width:25.85pt;z-index:321059840;mso-width-relative:page;mso-height-relative:page;" fillcolor="#000000" filled="t" stroked="t" coordsize="21600,21600">
            <v:path/>
            <v:fill type="pattern" on="t" color2="#FFFFFF" focussize="0,0" r:id="rId20"/>
            <v:stroke color="#000000" joinstyle="miter"/>
            <v:imagedata o:title=""/>
            <o:lock v:ext="edit" aspectratio="f"/>
          </v:rect>
        </w:pict>
      </w:r>
      <w:r>
        <w:rPr>
          <w:sz w:val="21"/>
        </w:rPr>
        <w:pict>
          <v:rect id="_x0000_s1079" o:spid="_x0000_s1079" o:spt="1" style="position:absolute;left:0pt;margin-left:366.5pt;margin-top:222.55pt;height:29.9pt;width:25.85pt;z-index:269007872;mso-width-relative:page;mso-height-relative:page;" fillcolor="#000000" filled="t" stroked="t" coordsize="21600,21600">
            <v:path/>
            <v:fill type="pattern" on="t" color2="#FFFFFF" focussize="0,0" r:id="rId20"/>
            <v:stroke color="#000000" joinstyle="miter"/>
            <v:imagedata o:title=""/>
            <o:lock v:ext="edit" aspectratio="f"/>
          </v:rect>
        </w:pict>
      </w:r>
      <w:r>
        <w:rPr>
          <w:sz w:val="21"/>
        </w:rPr>
        <w:pict>
          <v:rect id="_x0000_s1080" o:spid="_x0000_s1080" o:spt="1" style="position:absolute;left:0pt;margin-left:366.5pt;margin-top:188.35pt;height:29.9pt;width:25.85pt;z-index:286358528;mso-width-relative:page;mso-height-relative:page;" fillcolor="#000000" filled="t" stroked="t" coordsize="21600,21600">
            <v:path/>
            <v:fill type="pattern" on="t" color2="#FFFFFF" focussize="0,0" r:id="rId20"/>
            <v:stroke color="#000000" joinstyle="miter"/>
            <v:imagedata o:title=""/>
            <o:lock v:ext="edit" aspectratio="f"/>
          </v:rect>
        </w:pict>
      </w:r>
      <w:r>
        <w:rPr>
          <w:sz w:val="21"/>
        </w:rPr>
        <w:pict>
          <v:rect id="_x0000_s1082" o:spid="_x0000_s1082" o:spt="1" style="position:absolute;left:0pt;margin-left:366.55pt;margin-top:119.15pt;height:29.9pt;width:25.85pt;z-index:390462464;mso-width-relative:page;mso-height-relative:page;" fillcolor="#000000" filled="t" stroked="t" coordsize="21600,21600">
            <v:path/>
            <v:fill type="pattern" on="t" color2="#FFFFFF" focussize="0,0" r:id="rId20"/>
            <v:stroke color="#000000" joinstyle="miter"/>
            <v:imagedata o:title=""/>
            <o:lock v:ext="edit" aspectratio="f"/>
          </v:rect>
        </w:pict>
      </w:r>
      <w:r>
        <w:pict>
          <v:shape id="_x0000_s1029" o:spid="_x0000_s1029" o:spt="202" type="#_x0000_t202" style="position:absolute;left:0pt;margin-left:676.6pt;margin-top:3.4pt;height:34.5pt;width:32.15pt;z-index:251762688;mso-width-relative:page;mso-height-relative:page;" filled="f" stroked="f" coordsize="21600,21600" o:gfxdata="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K3SG72gAAAAwBAAAPAAAAAAAAAAEAIAAAACIAAABkcnMvZG93bnJldi54bWxQSwECFAAUAAAA&#10;CACHTuJA+nDmzyUCAAAnBAAADgAAAAAAAAABACAAAAApAQAAZHJzL2Uyb0RvYy54bWxQSwUGAAAA&#10;AAYABgBZAQAAwAUAAAAA&#10;">
            <v:path/>
            <v:fill on="f" focussize="0,0"/>
            <v:stroke on="f" weight="0.5pt"/>
            <v:imagedata o:title=""/>
            <o:lock v:ext="edit" aspectratio="f"/>
            <v:textbox>
              <w:txbxContent>
                <w:p>
                  <w:pPr>
                    <w:rPr>
                      <w:rFonts w:hint="eastAsia" w:eastAsia="宋体"/>
                      <w:b/>
                      <w:bCs/>
                      <w:sz w:val="24"/>
                      <w:szCs w:val="32"/>
                      <w:lang w:eastAsia="zh-CN"/>
                    </w:rPr>
                  </w:pPr>
                  <w:r>
                    <w:rPr>
                      <w:rFonts w:hint="eastAsia"/>
                      <w:b/>
                      <w:bCs/>
                      <w:sz w:val="28"/>
                      <w:szCs w:val="36"/>
                      <w:lang w:val="en-US" w:eastAsia="zh-CN"/>
                    </w:rPr>
                    <w:t>N</w:t>
                  </w:r>
                </w:p>
              </w:txbxContent>
            </v:textbox>
          </v:shape>
        </w:pict>
      </w:r>
      <w:r>
        <w:pict>
          <v:shape id="_x0000_s1030" o:spid="_x0000_s1030" o:spt="32" type="#_x0000_t32" style="position:absolute;left:0pt;flip:y;margin-left:657.15pt;margin-top:11.25pt;height:16.85pt;width:22.5pt;z-index:251761664;mso-width-relative:page;mso-height-relative:page;" filled="f" stroked="t" coordsize="21600,21600" o:gfxdata="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OwaYP2QAAAAoBAAAPAAAAAAAAAAEAIAAAACIA&#10;AABkcnMvZG93bnJldi54bWxQSwECFAAUAAAACACHTuJAvSwsIwgCAAC/AwAADgAAAAAAAAABACAA&#10;AAAoAQAAZHJzL2Uyb0RvYy54bWxQSwUGAAAAAAYABgBZAQAAogUAAAAA&#10;">
            <v:path arrowok="t"/>
            <v:fill on="f" focussize="0,0"/>
            <v:stroke weight="1.5pt" color="#000000" joinstyle="miter" endarrow="open"/>
            <v:imagedata o:title=""/>
            <o:lock v:ext="edit"/>
          </v:shape>
        </w:pict>
      </w:r>
      <w:r>
        <w:rPr>
          <w:color w:val="auto"/>
        </w:rPr>
        <w:pict>
          <v:rect id="_x0000_s1076" o:spid="_x0000_s1076" o:spt="1" style="position:absolute;left:0pt;margin-left:666.5pt;margin-top:149.5pt;height:8.05pt;width:10.85pt;z-index:255993856;mso-width-relative:page;mso-height-relative:page;" filled="f" stroked="t" insetpen="f" coordsize="21600,21600">
            <v:path/>
            <v:fill on="f" alignshape="1" focussize="0,0"/>
            <v:stroke weight="1.5pt" color="#ED7D31" imagealignshape="1"/>
            <v:imagedata o:title=""/>
            <o:lock v:ext="edit"/>
          </v:rect>
        </w:pict>
      </w:r>
      <w:r>
        <w:rPr>
          <w:color w:val="auto"/>
        </w:rPr>
        <w:pict>
          <v:shape id="_x0000_s1060" o:spid="_x0000_s1060" o:spt="202" type="#_x0000_t202" style="position:absolute;left:0pt;margin-left:0.85pt;margin-top:287.35pt;height:65.2pt;width:89.65pt;z-index:252576768;mso-width-relative:page;mso-height-relative:page;" fillcolor="#BFBFBF" filled="t" stroked="f" insetpen="f" coordsize="21600,21600">
            <v:path/>
            <v:fill on="t" alignshape="1" focussize="0,0"/>
            <v:stroke on="f" weight="1.5pt" imagealignshape="1"/>
            <v:imagedata o:title=""/>
            <o:lock v:ext="edit"/>
            <v:textbox>
              <w:txbxContent>
                <w:p>
                  <w:pPr>
                    <w:adjustRightInd w:val="0"/>
                    <w:snapToGrid w:val="0"/>
                    <w:spacing w:line="240" w:lineRule="auto"/>
                    <w:jc w:val="center"/>
                    <w:rPr>
                      <w:sz w:val="21"/>
                      <w:szCs w:val="21"/>
                    </w:rPr>
                  </w:pPr>
                  <w:r>
                    <w:rPr>
                      <w:sz w:val="21"/>
                      <w:szCs w:val="21"/>
                    </w:rPr>
                    <w:t>图例</w:t>
                  </w:r>
                </w:p>
                <w:p>
                  <w:pPr>
                    <w:adjustRightInd w:val="0"/>
                    <w:snapToGrid w:val="0"/>
                    <w:spacing w:line="240" w:lineRule="auto"/>
                    <w:ind w:firstLine="420" w:firstLineChars="200"/>
                    <w:rPr>
                      <w:sz w:val="21"/>
                      <w:szCs w:val="21"/>
                    </w:rPr>
                  </w:pPr>
                  <w:r>
                    <w:rPr>
                      <w:rFonts w:hint="eastAsia"/>
                      <w:sz w:val="21"/>
                      <w:szCs w:val="21"/>
                    </w:rPr>
                    <w:t>废水排放口</w:t>
                  </w:r>
                </w:p>
                <w:p>
                  <w:pPr>
                    <w:adjustRightInd w:val="0"/>
                    <w:snapToGrid w:val="0"/>
                    <w:spacing w:line="240" w:lineRule="auto"/>
                    <w:ind w:firstLine="420" w:firstLineChars="200"/>
                    <w:rPr>
                      <w:sz w:val="21"/>
                      <w:szCs w:val="21"/>
                    </w:rPr>
                  </w:pPr>
                  <w:r>
                    <w:rPr>
                      <w:rFonts w:hint="eastAsia"/>
                      <w:sz w:val="21"/>
                      <w:szCs w:val="21"/>
                    </w:rPr>
                    <w:t>废气排放口</w:t>
                  </w:r>
                </w:p>
                <w:p>
                  <w:pPr>
                    <w:adjustRightInd w:val="0"/>
                    <w:snapToGrid w:val="0"/>
                    <w:spacing w:line="240" w:lineRule="auto"/>
                    <w:rPr>
                      <w:rFonts w:hint="eastAsia"/>
                      <w:sz w:val="21"/>
                      <w:szCs w:val="21"/>
                    </w:rPr>
                  </w:pPr>
                  <w:r>
                    <w:rPr>
                      <w:rFonts w:hint="eastAsia"/>
                      <w:sz w:val="21"/>
                      <w:szCs w:val="21"/>
                    </w:rPr>
                    <w:t xml:space="preserve">    危废暂存点</w:t>
                  </w:r>
                </w:p>
              </w:txbxContent>
            </v:textbox>
          </v:shape>
        </w:pict>
      </w:r>
      <w:r>
        <w:rPr>
          <w:color w:val="auto"/>
        </w:rPr>
        <w:pict>
          <v:shape id="_x0000_s1074" o:spid="_x0000_s1074" o:spt="202" type="#_x0000_t202" style="position:absolute;left:0pt;margin-left:360.3pt;margin-top:286.15pt;height:25pt;width:31.5pt;z-index:254748672;mso-width-relative:page;mso-height-relative:page;" filled="f" stroked="f" insetpen="f" coordsize="21600,21600">
            <v:path/>
            <v:fill on="f" alignshape="1" focussize="0,0"/>
            <v:stroke on="f" weight="1.5pt" imagealignshape="1"/>
            <v:imagedata o:title=""/>
            <o:lock v:ext="edit"/>
            <v:textbox>
              <w:txbxContent>
                <w:p>
                  <w:pPr>
                    <w:rPr>
                      <w:rFonts w:hint="eastAsia" w:eastAsia="宋体"/>
                      <w:lang w:eastAsia="zh-CN"/>
                    </w:rPr>
                  </w:pPr>
                  <w:r>
                    <w:rPr>
                      <w:rFonts w:hint="eastAsia"/>
                    </w:rPr>
                    <w:t>G</w:t>
                  </w:r>
                  <w:r>
                    <w:rPr>
                      <w:rFonts w:hint="eastAsia"/>
                      <w:lang w:val="en-US" w:eastAsia="zh-CN"/>
                    </w:rPr>
                    <w:t>1</w:t>
                  </w:r>
                </w:p>
              </w:txbxContent>
            </v:textbox>
          </v:shape>
        </w:pict>
      </w:r>
      <w:r>
        <w:rPr>
          <w:color w:val="auto"/>
        </w:rPr>
        <w:pict>
          <v:shape id="_x0000_s1075" o:spid="_x0000_s1075" o:spt="120" type="#_x0000_t120" style="position:absolute;left:0pt;margin-left:368.2pt;margin-top:277.35pt;height:7.9pt;width:7.65pt;z-index:254747648;mso-width-relative:page;mso-height-relative:page;" fillcolor="#FF0000" filled="t" stroked="t" insetpen="f" coordsize="21600,21600">
            <v:path/>
            <v:fill on="t" alignshape="1" focussize="0,0"/>
            <v:stroke weight="0.5pt" color="#FF0000" imagealignshape="1"/>
            <v:imagedata o:title=""/>
            <o:lock v:ext="edit"/>
          </v:shape>
        </w:pict>
      </w:r>
      <w:r>
        <w:rPr>
          <w:color w:val="auto"/>
        </w:rPr>
        <w:pict>
          <v:shape id="_x0000_s1057" o:spid="_x0000_s1057" o:spt="202" type="#_x0000_t202" style="position:absolute;left:0pt;margin-left:337.7pt;margin-top:286.15pt;height:25pt;width:31.5pt;z-index:252260352;mso-width-relative:page;mso-height-relative:page;" filled="f" stroked="f" insetpen="f" coordsize="21600,21600">
            <v:path/>
            <v:fill on="f" alignshape="1" focussize="0,0"/>
            <v:stroke on="f" weight="1.5pt" imagealignshape="1"/>
            <v:imagedata o:title=""/>
            <o:lock v:ext="edit"/>
            <v:textbox>
              <w:txbxContent>
                <w:p>
                  <w:r>
                    <w:rPr>
                      <w:rFonts w:hint="eastAsia"/>
                    </w:rPr>
                    <w:t>G</w:t>
                  </w:r>
                  <w:r>
                    <w:t>2</w:t>
                  </w:r>
                </w:p>
              </w:txbxContent>
            </v:textbox>
          </v:shape>
        </w:pict>
      </w:r>
      <w:r>
        <w:rPr>
          <w:color w:val="auto"/>
        </w:rPr>
        <w:pict>
          <v:shape id="_x0000_s1056" o:spid="_x0000_s1056" o:spt="120" type="#_x0000_t120" style="position:absolute;left:0pt;margin-left:344.8pt;margin-top:277.35pt;height:7.9pt;width:7.65pt;z-index:252259328;mso-width-relative:page;mso-height-relative:page;" fillcolor="#FF0000" filled="t" stroked="t" insetpen="f" coordsize="21600,21600">
            <v:path/>
            <v:fill on="t" alignshape="1" focussize="0,0"/>
            <v:stroke weight="0.5pt" color="#FF0000" imagealignshape="1"/>
            <v:imagedata o:title=""/>
            <o:lock v:ext="edit"/>
          </v:shape>
        </w:pict>
      </w:r>
      <w:r>
        <w:rPr>
          <w:color w:val="auto"/>
        </w:rPr>
        <w:pict>
          <v:shape id="_x0000_s1073" o:spid="_x0000_s1073" o:spt="120" type="#_x0000_t120" style="position:absolute;left:0pt;margin-left:11.25pt;margin-top:144.55pt;height:7.9pt;width:7.65pt;z-index:254145536;mso-width-relative:page;mso-height-relative:page;" fillcolor="#8EAADB" filled="t" stroked="t" insetpen="f" coordsize="21600,21600">
            <v:path/>
            <v:fill on="t" alignshape="1" focussize="0,0"/>
            <v:stroke weight="0.5pt" imagealignshape="1"/>
            <v:imagedata o:title=""/>
            <o:lock v:ext="edit"/>
          </v:shape>
        </w:pict>
      </w:r>
      <w:r>
        <w:rPr>
          <w:color w:val="auto"/>
        </w:rPr>
        <w:pict>
          <v:shape id="_x0000_s1072" o:spid="_x0000_s1072" o:spt="120" type="#_x0000_t120" style="position:absolute;left:0pt;margin-left:13.75pt;margin-top:320.35pt;height:7.9pt;width:7.65pt;z-index:252901376;mso-width-relative:page;mso-height-relative:page;" fillcolor="#FF0000" filled="t" stroked="t" insetpen="f" coordsize="21600,21600">
            <v:path/>
            <v:fill on="t" alignshape="1" focussize="0,0"/>
            <v:stroke weight="0.5pt" color="#FF0000" imagealignshape="1"/>
            <v:imagedata o:title=""/>
            <o:lock v:ext="edit"/>
          </v:shape>
        </w:pict>
      </w:r>
      <w:r>
        <w:rPr>
          <w:color w:val="auto"/>
        </w:rPr>
        <w:pict>
          <v:shape id="_x0000_s1070" o:spid="_x0000_s1070" o:spt="120" type="#_x0000_t120" style="position:absolute;left:0pt;margin-left:13.75pt;margin-top:307.05pt;height:7.9pt;width:7.65pt;z-index:252900352;mso-width-relative:page;mso-height-relative:page;" fillcolor="#8EAADB" filled="t" stroked="t" insetpen="f" coordsize="21600,21600">
            <v:path/>
            <v:fill on="t" alignshape="1" focussize="0,0"/>
            <v:stroke weight="0.5pt" imagealignshape="1"/>
            <v:imagedata o:title=""/>
            <o:lock v:ext="edit"/>
          </v:shape>
        </w:pict>
      </w:r>
      <w:r>
        <w:rPr>
          <w:color w:val="auto"/>
        </w:rPr>
        <w:pict>
          <v:rect id="_x0000_s1071" o:spid="_x0000_s1071" o:spt="1" style="position:absolute;left:0pt;margin-left:12pt;margin-top:334.15pt;height:8.05pt;width:10.85pt;z-index:252902400;mso-width-relative:page;mso-height-relative:page;" filled="f" stroked="t" insetpen="f" coordsize="21600,21600">
            <v:path/>
            <v:fill on="f" alignshape="1" focussize="0,0"/>
            <v:stroke weight="1.5pt" color="#ED7D31" imagealignshape="1"/>
            <v:imagedata o:title=""/>
            <o:lock v:ext="edit"/>
          </v:rect>
        </w:pict>
      </w:r>
      <w:r>
        <w:rPr>
          <w:color w:val="auto"/>
        </w:rPr>
        <w:pict>
          <v:shape id="_x0000_s1061" o:spid="_x0000_s1061" o:spt="120" type="#_x0000_t120" style="position:absolute;left:0pt;margin-left:329.85pt;margin-top:597.25pt;height:7.9pt;width:7.65pt;z-index:252683264;mso-width-relative:page;mso-height-relative:page;" fillcolor="#8EAADB" filled="t" stroked="t" insetpen="f" coordsize="21600,21600">
            <v:path/>
            <v:fill on="t" alignshape="1" focussize="0,0"/>
            <v:stroke weight="0.5pt" imagealignshape="1"/>
            <v:imagedata o:title=""/>
            <o:lock v:ext="edit"/>
          </v:shape>
        </w:pict>
      </w:r>
      <w:r>
        <w:rPr>
          <w:color w:val="auto"/>
        </w:rPr>
        <w:pict>
          <v:rect id="_x0000_s1062" o:spid="_x0000_s1062" o:spt="1" style="position:absolute;left:0pt;margin-left:328.1pt;margin-top:624.35pt;height:8.05pt;width:10.85pt;z-index:252685312;mso-width-relative:page;mso-height-relative:page;" filled="f" stroked="t" insetpen="f" coordsize="21600,21600">
            <v:path/>
            <v:fill on="f" alignshape="1" focussize="0,0"/>
            <v:stroke weight="1.5pt" color="#ED7D31" imagealignshape="1"/>
            <v:imagedata o:title=""/>
            <o:lock v:ext="edit"/>
          </v:rect>
        </w:pict>
      </w:r>
      <w:r>
        <w:rPr>
          <w:color w:val="auto"/>
        </w:rPr>
        <w:pict>
          <v:shape id="_x0000_s1063" o:spid="_x0000_s1063" o:spt="120" type="#_x0000_t120" style="position:absolute;left:0pt;margin-left:329.85pt;margin-top:610.55pt;height:7.9pt;width:7.65pt;z-index:252684288;mso-width-relative:page;mso-height-relative:page;" fillcolor="#FF0000" filled="t" stroked="t" insetpen="f" coordsize="21600,21600">
            <v:path/>
            <v:fill on="t" alignshape="1" focussize="0,0"/>
            <v:stroke weight="0.5pt" color="#FF0000" imagealignshape="1"/>
            <v:imagedata o:title=""/>
            <o:lock v:ext="edit"/>
          </v:shape>
        </w:pict>
      </w:r>
      <w:r>
        <w:rPr>
          <w:color w:val="auto"/>
        </w:rPr>
        <w:pict>
          <v:shape id="_x0000_s1064" o:spid="_x0000_s1064" o:spt="120" type="#_x0000_t120" style="position:absolute;left:0pt;margin-left:341.85pt;margin-top:609.25pt;height:7.9pt;width:7.65pt;z-index:252791808;mso-width-relative:page;mso-height-relative:page;" fillcolor="#8EAADB" filled="t" stroked="t" insetpen="f" coordsize="21600,21600">
            <v:path/>
            <v:fill on="t" alignshape="1" focussize="0,0"/>
            <v:stroke weight="0.5pt" imagealignshape="1"/>
            <v:imagedata o:title=""/>
            <o:lock v:ext="edit"/>
          </v:shape>
        </w:pict>
      </w:r>
      <w:r>
        <w:rPr>
          <w:color w:val="auto"/>
        </w:rPr>
        <w:pict>
          <v:rect id="_x0000_s1065" o:spid="_x0000_s1065" o:spt="1" style="position:absolute;left:0pt;margin-left:340.1pt;margin-top:636.35pt;height:8.05pt;width:10.85pt;z-index:252793856;mso-width-relative:page;mso-height-relative:page;" filled="f" stroked="t" insetpen="f" coordsize="21600,21600">
            <v:path/>
            <v:fill on="f" alignshape="1" focussize="0,0"/>
            <v:stroke weight="1.5pt" color="#ED7D31" imagealignshape="1"/>
            <v:imagedata o:title=""/>
            <o:lock v:ext="edit"/>
          </v:rect>
        </w:pict>
      </w:r>
      <w:r>
        <w:rPr>
          <w:color w:val="auto"/>
        </w:rPr>
        <w:pict>
          <v:shape id="_x0000_s1066" o:spid="_x0000_s1066" o:spt="120" type="#_x0000_t120" style="position:absolute;left:0pt;margin-left:341.85pt;margin-top:622.55pt;height:7.9pt;width:7.65pt;z-index:252792832;mso-width-relative:page;mso-height-relative:page;" fillcolor="#FF0000" filled="t" stroked="t" insetpen="f" coordsize="21600,21600">
            <v:path/>
            <v:fill on="t" alignshape="1" focussize="0,0"/>
            <v:stroke weight="0.5pt" color="#FF0000" imagealignshape="1"/>
            <v:imagedata o:title=""/>
            <o:lock v:ext="edit"/>
          </v:shape>
        </w:pict>
      </w:r>
      <w:r>
        <w:rPr>
          <w:b/>
          <w:bdr w:val="single" w:sz="4" w:space="0"/>
        </w:rPr>
        <w:drawing>
          <wp:inline distT="0" distB="0" distL="114300" distR="114300">
            <wp:extent cx="8877300" cy="4393565"/>
            <wp:effectExtent l="0" t="0" r="0" b="6985"/>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21" cstate="print"/>
                    <a:srcRect l="13858" b="15200"/>
                    <a:stretch>
                      <a:fillRect/>
                    </a:stretch>
                  </pic:blipFill>
                  <pic:spPr>
                    <a:xfrm>
                      <a:off x="0" y="0"/>
                      <a:ext cx="8877300" cy="4393565"/>
                    </a:xfrm>
                    <a:prstGeom prst="rect">
                      <a:avLst/>
                    </a:prstGeom>
                    <a:noFill/>
                    <a:ln w="9525">
                      <a:noFill/>
                    </a:ln>
                  </pic:spPr>
                </pic:pic>
              </a:graphicData>
            </a:graphic>
          </wp:inline>
        </w:drawing>
      </w:r>
      <w:r>
        <w:rPr>
          <w:b/>
        </w:rPr>
        <w:pict>
          <v:rect id="_x0000_s1055" o:spid="_x0000_s1055" o:spt="1" style="position:absolute;left:0pt;margin-left:628.45pt;margin-top:186.75pt;height:54.55pt;width:51.7pt;z-index:252143616;mso-width-relative:page;mso-height-relative:page;" fillcolor="#FFFFFF" filled="t" stroked="f" coordsize="21600,21600" o:gfxdata="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YmVmndgAAAALAQAADwAA&#10;AAAAAAABACAAAAAiAAAAZHJzL2Rvd25yZXYueG1sUEsBAhQAFAAAAAgAh07iQKIqtLukAQAAJwMA&#10;AA4AAAAAAAAAAQAgAAAAJwEAAGRycy9lMm9Eb2MueG1sUEsFBgAAAAAGAAYAWQEAAD0FAAAAAA==&#10;">
            <v:path/>
            <v:fill on="t" color2="#FFFFFF" focussize="0,0"/>
            <v:stroke on="f"/>
            <v:imagedata o:title=""/>
            <o:lock v:ext="edit" aspectratio="f"/>
            <v:textbox>
              <w:txbxContent>
                <w:p>
                  <w:pPr>
                    <w:spacing w:beforeLines="100"/>
                    <w:jc w:val="center"/>
                    <w:rPr>
                      <w:rFonts w:hint="eastAsia"/>
                      <w:b/>
                      <w:sz w:val="24"/>
                      <w:szCs w:val="32"/>
                      <w:lang w:val="en-US" w:eastAsia="zh-CN"/>
                    </w:rPr>
                  </w:pPr>
                </w:p>
              </w:txbxContent>
            </v:textbox>
          </v:rect>
        </w:pict>
      </w:r>
      <w:r>
        <w:rPr>
          <w:b/>
        </w:rPr>
        <w:pict>
          <v:rect id="_x0000_s1054" o:spid="_x0000_s1054" o:spt="1" style="position:absolute;left:0pt;margin-left:446.2pt;margin-top:33.9pt;height:23.45pt;width:82.75pt;z-index:252089344;mso-width-relative:page;mso-height-relative:page;" fillcolor="#000000" filled="t" stroked="f" coordsize="21600,21600">
            <v:path/>
            <v:fill on="t" color2="#FFFFFF" opacity="0f" focussize="0,0"/>
            <v:stroke on="f"/>
            <v:imagedata o:title=""/>
            <o:lock v:ext="edit" aspectratio="f"/>
            <v:textbox>
              <w:txbxContent>
                <w:p>
                  <w:pPr>
                    <w:jc w:val="center"/>
                    <w:rPr>
                      <w:rFonts w:hint="eastAsia" w:eastAsia="宋体"/>
                      <w:b/>
                      <w:sz w:val="24"/>
                      <w:szCs w:val="32"/>
                      <w:lang w:val="en-US" w:eastAsia="zh-CN"/>
                    </w:rPr>
                  </w:pPr>
                  <w:r>
                    <w:rPr>
                      <w:rFonts w:hint="eastAsia"/>
                      <w:b/>
                      <w:sz w:val="24"/>
                      <w:szCs w:val="32"/>
                      <w:lang w:val="en-US" w:eastAsia="zh-CN"/>
                    </w:rPr>
                    <w:t>空压机</w:t>
                  </w:r>
                </w:p>
              </w:txbxContent>
            </v:textbox>
          </v:rect>
        </w:pict>
      </w:r>
      <w:r>
        <w:rPr>
          <w:b/>
        </w:rPr>
        <w:pict>
          <v:rect id="_x0000_s1053" o:spid="_x0000_s1053" o:spt="1" style="position:absolute;left:0pt;margin-left:247.05pt;margin-top:200.6pt;height:23.45pt;width:82.75pt;z-index:251873280;mso-width-relative:page;mso-height-relative:page;" fillcolor="#000000" filled="t" stroked="f" coordsize="21600,21600">
            <v:path/>
            <v:fill on="t" color2="#FFFFFF" opacity="0f" focussize="0,0"/>
            <v:stroke on="f"/>
            <v:imagedata o:title=""/>
            <o:lock v:ext="edit" aspectratio="f"/>
            <v:textbox>
              <w:txbxContent>
                <w:p>
                  <w:pPr>
                    <w:jc w:val="center"/>
                    <w:rPr>
                      <w:rFonts w:hint="eastAsia" w:eastAsia="宋体"/>
                      <w:b/>
                      <w:sz w:val="24"/>
                      <w:szCs w:val="32"/>
                      <w:lang w:val="en-US" w:eastAsia="zh-CN"/>
                    </w:rPr>
                  </w:pPr>
                  <w:r>
                    <w:rPr>
                      <w:rFonts w:hint="eastAsia"/>
                      <w:b/>
                      <w:sz w:val="24"/>
                      <w:szCs w:val="32"/>
                      <w:lang w:val="en-US" w:eastAsia="zh-CN"/>
                    </w:rPr>
                    <w:t>燃烧机</w:t>
                  </w:r>
                </w:p>
              </w:txbxContent>
            </v:textbox>
          </v:rect>
        </w:pict>
      </w:r>
      <w:r>
        <w:rPr>
          <w:b/>
        </w:rPr>
        <w:pict>
          <v:rect id="_x0000_s1032" o:spid="_x0000_s1032" o:spt="1" style="position:absolute;left:0pt;margin-left:345.05pt;margin-top:102.75pt;height:140.45pt;width:21.75pt;z-index:251711488;mso-width-relative:page;mso-height-relative:page;" fillcolor="#FFFFFF" filled="t" stroked="f" coordsize="21600,21600" o:gfxdata="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YmVmndgAAAALAQAADwAA&#10;AAAAAAABACAAAAAiAAAAZHJzL2Rvd25yZXYueG1sUEsBAhQAFAAAAAgAh07iQKIqtLukAQAAJwMA&#10;AA4AAAAAAAAAAQAgAAAAJwEAAGRycy9lMm9Eb2MueG1sUEsFBgAAAAAGAAYAWQEAAD0FAAAAAA==&#10;">
            <v:path/>
            <v:fill on="t" color2="#FFFFFF" focussize="0,0"/>
            <v:stroke on="f"/>
            <v:imagedata o:title=""/>
            <o:lock v:ext="edit" aspectratio="f"/>
            <v:textbox>
              <w:txbxContent>
                <w:p>
                  <w:pPr>
                    <w:spacing w:beforeLines="100"/>
                    <w:jc w:val="center"/>
                    <w:rPr>
                      <w:rFonts w:hint="eastAsia"/>
                      <w:b/>
                      <w:sz w:val="24"/>
                      <w:szCs w:val="32"/>
                      <w:lang w:val="en-US" w:eastAsia="zh-CN"/>
                    </w:rPr>
                  </w:pPr>
                </w:p>
                <w:p>
                  <w:pPr>
                    <w:spacing w:beforeLines="100"/>
                    <w:jc w:val="center"/>
                    <w:rPr>
                      <w:rFonts w:hint="eastAsia" w:eastAsia="宋体"/>
                      <w:b/>
                      <w:lang w:val="en-US" w:eastAsia="zh-CN"/>
                    </w:rPr>
                  </w:pPr>
                  <w:r>
                    <w:rPr>
                      <w:rFonts w:hint="eastAsia"/>
                      <w:b/>
                      <w:sz w:val="24"/>
                      <w:szCs w:val="32"/>
                      <w:lang w:val="en-US" w:eastAsia="zh-CN"/>
                    </w:rPr>
                    <w:t>喷粉箱</w:t>
                  </w:r>
                </w:p>
              </w:txbxContent>
            </v:textbox>
          </v:rect>
        </w:pict>
      </w:r>
      <w:r>
        <w:rPr>
          <w:color w:val="auto"/>
        </w:rPr>
        <w:pict>
          <v:shape id="_x0000_s1058" o:spid="_x0000_s1058" o:spt="202" type="#_x0000_t202" style="position:absolute;left:0pt;margin-left:317.2pt;margin-top:576.9pt;height:65.2pt;width:89.65pt;z-index:252365824;mso-width-relative:page;mso-height-relative:page;" fillcolor="#BFBFBF" filled="t" stroked="f" insetpen="f" coordsize="21600,21600">
            <v:path/>
            <v:fill on="t" alignshape="1" focussize="0,0"/>
            <v:stroke on="f" weight="1.5pt" imagealignshape="1"/>
            <v:imagedata o:title=""/>
            <o:lock v:ext="edit"/>
            <v:textbox>
              <w:txbxContent>
                <w:p>
                  <w:pPr>
                    <w:adjustRightInd w:val="0"/>
                    <w:snapToGrid w:val="0"/>
                    <w:spacing w:line="240" w:lineRule="auto"/>
                    <w:jc w:val="center"/>
                    <w:rPr>
                      <w:sz w:val="21"/>
                      <w:szCs w:val="21"/>
                    </w:rPr>
                  </w:pPr>
                  <w:r>
                    <w:rPr>
                      <w:sz w:val="21"/>
                      <w:szCs w:val="21"/>
                    </w:rPr>
                    <w:t>图例</w:t>
                  </w:r>
                </w:p>
                <w:p>
                  <w:pPr>
                    <w:adjustRightInd w:val="0"/>
                    <w:snapToGrid w:val="0"/>
                    <w:spacing w:line="240" w:lineRule="auto"/>
                    <w:ind w:firstLine="420" w:firstLineChars="200"/>
                    <w:rPr>
                      <w:sz w:val="21"/>
                      <w:szCs w:val="21"/>
                    </w:rPr>
                  </w:pPr>
                  <w:r>
                    <w:rPr>
                      <w:rFonts w:hint="eastAsia"/>
                      <w:sz w:val="21"/>
                      <w:szCs w:val="21"/>
                    </w:rPr>
                    <w:t>废水排放口</w:t>
                  </w:r>
                </w:p>
                <w:p>
                  <w:pPr>
                    <w:adjustRightInd w:val="0"/>
                    <w:snapToGrid w:val="0"/>
                    <w:spacing w:line="240" w:lineRule="auto"/>
                    <w:ind w:firstLine="420" w:firstLineChars="200"/>
                    <w:rPr>
                      <w:sz w:val="21"/>
                      <w:szCs w:val="21"/>
                    </w:rPr>
                  </w:pPr>
                  <w:r>
                    <w:rPr>
                      <w:rFonts w:hint="eastAsia"/>
                      <w:sz w:val="21"/>
                      <w:szCs w:val="21"/>
                    </w:rPr>
                    <w:t>废气排放口</w:t>
                  </w:r>
                </w:p>
                <w:p>
                  <w:pPr>
                    <w:adjustRightInd w:val="0"/>
                    <w:snapToGrid w:val="0"/>
                    <w:spacing w:line="240" w:lineRule="auto"/>
                    <w:rPr>
                      <w:rFonts w:hint="eastAsia"/>
                      <w:sz w:val="21"/>
                      <w:szCs w:val="21"/>
                    </w:rPr>
                  </w:pPr>
                  <w:r>
                    <w:rPr>
                      <w:rFonts w:hint="eastAsia"/>
                      <w:sz w:val="21"/>
                      <w:szCs w:val="21"/>
                    </w:rPr>
                    <w:t xml:space="preserve">    危废暂存点</w:t>
                  </w:r>
                </w:p>
              </w:txbxContent>
            </v:textbox>
          </v:shape>
        </w:pict>
      </w:r>
      <w:r>
        <w:rPr>
          <w:color w:val="auto"/>
        </w:rPr>
        <w:pict>
          <v:shape id="_x0000_s1059" o:spid="_x0000_s1059" o:spt="202" type="#_x0000_t202" style="position:absolute;left:0pt;margin-left:329.2pt;margin-top:588.9pt;height:65.2pt;width:89.65pt;z-index:252471296;mso-width-relative:page;mso-height-relative:page;" fillcolor="#BFBFBF" filled="t" stroked="f" insetpen="f" coordsize="21600,21600">
            <v:path/>
            <v:fill on="t" alignshape="1" focussize="0,0"/>
            <v:stroke on="f" weight="1.5pt" imagealignshape="1"/>
            <v:imagedata o:title=""/>
            <o:lock v:ext="edit"/>
            <v:textbox>
              <w:txbxContent>
                <w:p>
                  <w:pPr>
                    <w:adjustRightInd w:val="0"/>
                    <w:snapToGrid w:val="0"/>
                    <w:spacing w:line="240" w:lineRule="auto"/>
                    <w:jc w:val="center"/>
                    <w:rPr>
                      <w:sz w:val="21"/>
                      <w:szCs w:val="21"/>
                    </w:rPr>
                  </w:pPr>
                  <w:r>
                    <w:rPr>
                      <w:sz w:val="21"/>
                      <w:szCs w:val="21"/>
                    </w:rPr>
                    <w:t>图例</w:t>
                  </w:r>
                </w:p>
                <w:p>
                  <w:pPr>
                    <w:adjustRightInd w:val="0"/>
                    <w:snapToGrid w:val="0"/>
                    <w:spacing w:line="240" w:lineRule="auto"/>
                    <w:ind w:firstLine="420" w:firstLineChars="200"/>
                    <w:rPr>
                      <w:sz w:val="21"/>
                      <w:szCs w:val="21"/>
                    </w:rPr>
                  </w:pPr>
                  <w:r>
                    <w:rPr>
                      <w:rFonts w:hint="eastAsia"/>
                      <w:sz w:val="21"/>
                      <w:szCs w:val="21"/>
                    </w:rPr>
                    <w:t>废水排放口</w:t>
                  </w:r>
                </w:p>
                <w:p>
                  <w:pPr>
                    <w:adjustRightInd w:val="0"/>
                    <w:snapToGrid w:val="0"/>
                    <w:spacing w:line="240" w:lineRule="auto"/>
                    <w:ind w:firstLine="420" w:firstLineChars="200"/>
                    <w:rPr>
                      <w:sz w:val="21"/>
                      <w:szCs w:val="21"/>
                    </w:rPr>
                  </w:pPr>
                  <w:r>
                    <w:rPr>
                      <w:rFonts w:hint="eastAsia"/>
                      <w:sz w:val="21"/>
                      <w:szCs w:val="21"/>
                    </w:rPr>
                    <w:t>废气排放口</w:t>
                  </w:r>
                </w:p>
                <w:p>
                  <w:pPr>
                    <w:adjustRightInd w:val="0"/>
                    <w:snapToGrid w:val="0"/>
                    <w:spacing w:line="240" w:lineRule="auto"/>
                    <w:rPr>
                      <w:rFonts w:hint="eastAsia"/>
                      <w:sz w:val="21"/>
                      <w:szCs w:val="21"/>
                    </w:rPr>
                  </w:pPr>
                  <w:r>
                    <w:rPr>
                      <w:rFonts w:hint="eastAsia"/>
                      <w:sz w:val="21"/>
                      <w:szCs w:val="21"/>
                    </w:rPr>
                    <w:t xml:space="preserve">    危废暂存点</w:t>
                  </w:r>
                </w:p>
              </w:txbxContent>
            </v:textbox>
          </v:shape>
        </w:pict>
      </w:r>
    </w:p>
    <w:p>
      <w:pPr>
        <w:jc w:val="center"/>
        <w:rPr>
          <w:b/>
          <w:sz w:val="24"/>
          <w:szCs w:val="32"/>
        </w:rPr>
      </w:pPr>
      <w:r>
        <w:rPr>
          <w:rFonts w:hint="eastAsia"/>
          <w:b/>
          <w:sz w:val="24"/>
          <w:szCs w:val="32"/>
        </w:rPr>
        <w:t>附图</w:t>
      </w:r>
      <w:r>
        <w:rPr>
          <w:rFonts w:hint="eastAsia"/>
          <w:b/>
          <w:sz w:val="24"/>
          <w:szCs w:val="32"/>
          <w:lang w:val="en-US" w:eastAsia="zh-CN"/>
        </w:rPr>
        <w:t xml:space="preserve">5 </w:t>
      </w:r>
      <w:r>
        <w:rPr>
          <w:rFonts w:hint="eastAsia"/>
          <w:b/>
          <w:sz w:val="24"/>
          <w:szCs w:val="32"/>
        </w:rPr>
        <w:t xml:space="preserve"> 平面布置图</w:t>
      </w:r>
    </w:p>
    <w:p>
      <w:pPr>
        <w:rPr>
          <w:b/>
        </w:rPr>
        <w:sectPr>
          <w:pgSz w:w="16838" w:h="11906" w:orient="landscape"/>
          <w:pgMar w:top="960" w:right="1440" w:bottom="1286" w:left="1440" w:header="851" w:footer="992" w:gutter="0"/>
          <w:pgNumType w:fmt="decimal"/>
          <w:cols w:space="720" w:num="1"/>
          <w:docGrid w:type="lines" w:linePitch="312" w:charSpace="0"/>
        </w:sectPr>
      </w:pPr>
    </w:p>
    <w:p>
      <w:pPr>
        <w:jc w:val="center"/>
        <w:outlineLvl w:val="0"/>
        <w:rPr>
          <w:b/>
          <w:sz w:val="24"/>
          <w:szCs w:val="32"/>
          <w:lang w:val="zh-CN"/>
        </w:rPr>
      </w:pPr>
      <w:r>
        <w:rPr>
          <w:b/>
        </w:rPr>
        <w:drawing>
          <wp:inline distT="0" distB="0" distL="114300" distR="114300">
            <wp:extent cx="5978525" cy="8448675"/>
            <wp:effectExtent l="0" t="0" r="10795" b="9525"/>
            <wp:docPr id="83" name="图片 12" descr="广州市饮用水源保护区划调整后(中心城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 descr="广州市饮用水源保护区划调整后(中心城区).jpg"/>
                    <pic:cNvPicPr>
                      <a:picLocks noChangeAspect="1"/>
                    </pic:cNvPicPr>
                  </pic:nvPicPr>
                  <pic:blipFill>
                    <a:blip r:embed="rId22" cstate="print"/>
                    <a:stretch>
                      <a:fillRect/>
                    </a:stretch>
                  </pic:blipFill>
                  <pic:spPr>
                    <a:xfrm>
                      <a:off x="0" y="0"/>
                      <a:ext cx="5978525" cy="8448675"/>
                    </a:xfrm>
                    <a:prstGeom prst="rect">
                      <a:avLst/>
                    </a:prstGeom>
                    <a:noFill/>
                    <a:ln w="9525">
                      <a:noFill/>
                    </a:ln>
                  </pic:spPr>
                </pic:pic>
              </a:graphicData>
            </a:graphic>
          </wp:inline>
        </w:drawing>
      </w:r>
      <w:r>
        <w:rPr>
          <w:b/>
        </w:rPr>
        <w:pict>
          <v:rect id="_x0000_s1033" o:spid="_x0000_s1033" o:spt="1" style="position:absolute;left:0pt;margin-left:162.55pt;margin-top:280.75pt;height:25.15pt;width:50.25pt;z-index:251713536;mso-width-relative:page;mso-height-relative:page;" filled="f" stroked="f" coordsize="21600,21600" o:gfxdata="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PKogT2wAAAAsBAAAPAAAAAAAAAAEAIAAAACIAAABkcnMvZG93bnJldi54&#10;bWxQSwECFAAUAAAACACHTuJAvOT9yvcBAADJAwAADgAAAAAAAAABACAAAAAqAQAAZHJzL2Uyb0Rv&#10;Yy54bWxQSwUGAAAAAAYABgBZAQAAkwUAAAAA&#10;">
            <v:path/>
            <v:fill on="f" focussize="0,0"/>
            <v:stroke on="f"/>
            <v:imagedata o:title=""/>
            <o:lock v:ext="edit"/>
            <v:textbox>
              <w:txbxContent>
                <w:p>
                  <w:pPr>
                    <w:rPr>
                      <w:b/>
                    </w:rPr>
                  </w:pPr>
                  <w:r>
                    <w:rPr>
                      <w:rFonts w:hint="eastAsia"/>
                      <w:b/>
                    </w:rPr>
                    <w:t>1.3km</w:t>
                  </w:r>
                </w:p>
              </w:txbxContent>
            </v:textbox>
          </v:rect>
        </w:pict>
      </w:r>
      <w:r>
        <w:rPr>
          <w:b/>
        </w:rPr>
        <w:pict>
          <v:shape id="_x0000_s1034" o:spid="_x0000_s1034" o:spt="61" type="#_x0000_t61" style="position:absolute;left:0pt;margin-left:166.8pt;margin-top:210.35pt;height:32.5pt;width:85pt;z-index:251678720;v-text-anchor:middle;mso-width-relative:page;mso-height-relative:page;" coordsize="21600,21600" o:gfxdata="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KLdd+2QAAAAsBAAAPAAAAAAAAAAEAIAAAACIAAABkcnMvZG93bnJldi54bWxQSwECFAAUAAAA&#10;CACHTuJAUmv1USYCAABQBAAADgAAAAAAAAABACAAAAAoAQAAZHJzL2Uyb0RvYy54bWxQSwUGAAAA&#10;AAYABgBZAQAAwAUAAAAA&#10;" adj="-305,45825">
            <v:path/>
            <v:fill focussize="0,0"/>
            <v:stroke weight="1pt" joinstyle="miter"/>
            <v:imagedata o:title=""/>
            <o:lock v:ext="edit"/>
            <v:textbox>
              <w:txbxContent>
                <w:p>
                  <w:pPr>
                    <w:jc w:val="center"/>
                  </w:pPr>
                  <w:r>
                    <w:rPr>
                      <w:rFonts w:hint="eastAsia"/>
                    </w:rPr>
                    <w:t>项目所在地</w:t>
                  </w:r>
                </w:p>
              </w:txbxContent>
            </v:textbox>
          </v:shape>
        </w:pict>
      </w:r>
      <w:r>
        <w:rPr>
          <w:b/>
        </w:rPr>
        <w:pict>
          <v:shape id="_x0000_s1035" o:spid="_x0000_s1035" o:spt="110" type="#_x0000_t110" style="position:absolute;left:0pt;margin-left:157.6pt;margin-top:278.2pt;height:12.8pt;width:9.7pt;z-index:251679744;mso-width-relative:page;mso-height-relative:page;" fillcolor="#FF0000" filled="t" stroked="t" coordsize="21600,21600" o:gfxdata="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NB78tsAAAALAQAADwAAAAAAAAABACAAAAAiAAAAZHJz&#10;L2Rvd25yZXYueG1sUEsBAhQAFAAAAAgAh07iQFJ3+/wBAgAA+gMAAA4AAAAAAAAAAQAgAAAAKgEA&#10;AGRycy9lMm9Eb2MueG1sUEsFBgAAAAAGAAYAWQEAAJ0FAAAAAA==&#10;">
            <v:path/>
            <v:fill on="t" focussize="0,0"/>
            <v:stroke weight="1.25pt" color="#FF0000" joinstyle="miter"/>
            <v:imagedata o:title=""/>
            <o:lock v:ext="edit"/>
          </v:shape>
        </w:pict>
      </w:r>
      <w:r>
        <w:rPr>
          <w:b/>
        </w:rPr>
        <w:pict>
          <v:shape id="_x0000_s1036" o:spid="_x0000_s1036" o:spt="32" type="#_x0000_t32" style="position:absolute;left:0pt;flip:x y;margin-left:162.55pt;margin-top:289.15pt;height:15.9pt;width:12.95pt;z-index:251714560;mso-width-relative:page;mso-height-relative:page;" filled="f" coordsize="21600,21600" o:gfxdata="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bv0uN2QAAAAsBAAAPAAAAAAAAAAEAIAAAACIAAABkcnMvZG93bnJldi54bWxQ&#10;SwECFAAUAAAACACHTuJAu20wIfYBAADAAwAADgAAAAAAAAABACAAAAAoAQAAZHJzL2Uyb0RvYy54&#10;bWxQSwUGAAAAAAYABgBZAQAAkAUAAAAA&#10;">
            <v:path arrowok="t"/>
            <v:fill on="f" focussize="0,0"/>
            <v:stroke startarrow="block" endarrow="block"/>
            <v:imagedata o:title=""/>
            <o:lock v:ext="edit"/>
          </v:shape>
        </w:pict>
      </w:r>
      <w:r>
        <w:rPr>
          <w:rFonts w:hint="eastAsia"/>
          <w:b/>
          <w:sz w:val="24"/>
          <w:szCs w:val="32"/>
          <w:lang w:val="zh-CN"/>
        </w:rPr>
        <w:t>附图</w:t>
      </w:r>
      <w:r>
        <w:rPr>
          <w:rFonts w:hint="eastAsia"/>
          <w:b/>
          <w:sz w:val="24"/>
          <w:szCs w:val="32"/>
          <w:lang w:val="en-US" w:eastAsia="zh-CN"/>
        </w:rPr>
        <w:t xml:space="preserve">6 </w:t>
      </w:r>
      <w:r>
        <w:rPr>
          <w:rFonts w:hint="eastAsia"/>
          <w:b/>
          <w:sz w:val="24"/>
          <w:szCs w:val="32"/>
          <w:lang w:val="zh-CN"/>
        </w:rPr>
        <w:t xml:space="preserve"> </w:t>
      </w:r>
      <w:r>
        <w:rPr>
          <w:rFonts w:hint="eastAsia"/>
          <w:b/>
          <w:sz w:val="24"/>
          <w:szCs w:val="32"/>
        </w:rPr>
        <w:t>与水源保护区位置分布图</w:t>
      </w:r>
    </w:p>
    <w:p>
      <w:pPr>
        <w:adjustRightInd w:val="0"/>
        <w:snapToGrid w:val="0"/>
        <w:spacing w:afterLines="50"/>
        <w:jc w:val="center"/>
        <w:rPr>
          <w:b/>
          <w:bCs/>
          <w:sz w:val="24"/>
        </w:rPr>
      </w:pPr>
      <w:r>
        <w:rPr>
          <w:color w:val="auto"/>
        </w:rPr>
        <w:pict>
          <v:shape id="_x0000_s1083" o:spid="_x0000_s1083" o:spt="61" type="#_x0000_t61" style="position:absolute;left:0pt;margin-left:162.9pt;margin-top:423.2pt;height:20pt;width:60.55pt;z-index:390587392;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r>
        <w:rPr>
          <w:color w:val="auto"/>
        </w:rPr>
        <w:pict>
          <v:shape id="_x0000_s1084" o:spid="_x0000_s1084" o:spt="12" type="#_x0000_t12" style="position:absolute;left:0pt;margin-left:153.9pt;margin-top:470.4pt;height:10.85pt;width:10.1pt;z-index:390586368;mso-width-relative:page;mso-height-relative:page;" fillcolor="#FF0000" filled="t" stroked="t" insetpen="f" coordsize="21600,21600">
            <v:path/>
            <v:fill on="t" alignshape="1" focussize="0,0"/>
            <v:stroke imagealignshape="1"/>
            <v:imagedata o:title=""/>
            <o:lock v:ext="edit"/>
          </v:shape>
        </w:pict>
      </w:r>
      <w:r>
        <w:drawing>
          <wp:anchor distT="0" distB="0" distL="114300" distR="114300" simplePos="0" relativeHeight="390585344" behindDoc="0" locked="0" layoutInCell="1" allowOverlap="1">
            <wp:simplePos x="0" y="0"/>
            <wp:positionH relativeFrom="column">
              <wp:posOffset>441325</wp:posOffset>
            </wp:positionH>
            <wp:positionV relativeFrom="paragraph">
              <wp:posOffset>4984750</wp:posOffset>
            </wp:positionV>
            <wp:extent cx="2790825" cy="2543175"/>
            <wp:effectExtent l="9525" t="9525" r="19050" b="19050"/>
            <wp:wrapNone/>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3"/>
                    <a:srcRect l="-774" t="400" r="774" b="-400"/>
                    <a:stretch>
                      <a:fillRect/>
                    </a:stretch>
                  </pic:blipFill>
                  <pic:spPr>
                    <a:xfrm>
                      <a:off x="0" y="0"/>
                      <a:ext cx="2790825" cy="2543175"/>
                    </a:xfrm>
                    <a:prstGeom prst="rect">
                      <a:avLst/>
                    </a:prstGeom>
                    <a:noFill/>
                    <a:ln>
                      <a:solidFill>
                        <a:schemeClr val="tx1"/>
                      </a:solidFill>
                    </a:ln>
                  </pic:spPr>
                </pic:pic>
              </a:graphicData>
            </a:graphic>
          </wp:anchor>
        </w:drawing>
      </w:r>
      <w:r>
        <w:rPr>
          <w:color w:val="auto"/>
        </w:rPr>
        <w:pict>
          <v:shape id="_x0000_s1085" o:spid="_x0000_s1085" o:spt="61" type="#_x0000_t61" style="position:absolute;left:0pt;margin-left:150.2pt;margin-top:271.4pt;height:20pt;width:60.55pt;z-index:390488064;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r>
        <w:rPr>
          <w:color w:val="auto"/>
        </w:rPr>
        <w:pict>
          <v:shape id="自选图形 1053" o:spid="_x0000_s1086" o:spt="12" type="#_x0000_t12" style="position:absolute;left:0pt;margin-left:141.95pt;margin-top:318.15pt;height:10.85pt;width:10.1pt;z-index:390466560;mso-width-relative:page;mso-height-relative:page;" fillcolor="#FF0000" filled="t" stroked="t" insetpen="f" coordsize="21600,21600">
            <v:path/>
            <v:fill on="t" alignshape="1" focussize="0,0"/>
            <v:stroke imagealignshape="1"/>
            <v:imagedata o:title=""/>
            <o:lock v:ext="edit"/>
          </v:shape>
        </w:pict>
      </w:r>
      <w:r>
        <w:rPr>
          <w:color w:val="auto"/>
        </w:rPr>
        <w:drawing>
          <wp:inline distT="0" distB="0" distL="114300" distR="114300">
            <wp:extent cx="6043295" cy="8542655"/>
            <wp:effectExtent l="0" t="0" r="14605" b="10795"/>
            <wp:docPr id="8" name="图片 3" descr="C:\Users\Administrato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C:\Users\Administrator\Desktop\1.png"/>
                    <pic:cNvPicPr>
                      <a:picLocks noChangeAspect="1"/>
                    </pic:cNvPicPr>
                  </pic:nvPicPr>
                  <pic:blipFill>
                    <a:blip r:embed="rId24"/>
                    <a:stretch>
                      <a:fillRect/>
                    </a:stretch>
                  </pic:blipFill>
                  <pic:spPr>
                    <a:xfrm>
                      <a:off x="0" y="0"/>
                      <a:ext cx="6043295" cy="8542655"/>
                    </a:xfrm>
                    <a:prstGeom prst="rect">
                      <a:avLst/>
                    </a:prstGeom>
                    <a:noFill/>
                    <a:ln>
                      <a:noFill/>
                    </a:ln>
                  </pic:spPr>
                </pic:pic>
              </a:graphicData>
            </a:graphic>
          </wp:inline>
        </w:drawing>
      </w:r>
    </w:p>
    <w:p>
      <w:pPr>
        <w:widowControl/>
        <w:jc w:val="center"/>
        <w:rPr>
          <w:b/>
          <w:sz w:val="24"/>
        </w:rPr>
      </w:pPr>
      <w:r>
        <w:rPr>
          <w:rFonts w:hint="eastAsia"/>
          <w:b/>
          <w:sz w:val="24"/>
        </w:rPr>
        <w:t>附图</w:t>
      </w:r>
      <w:r>
        <w:rPr>
          <w:rFonts w:hint="eastAsia"/>
          <w:b/>
          <w:sz w:val="24"/>
          <w:lang w:val="en-US" w:eastAsia="zh-CN"/>
        </w:rPr>
        <w:t xml:space="preserve">7 </w:t>
      </w:r>
      <w:r>
        <w:rPr>
          <w:rFonts w:hint="eastAsia"/>
          <w:b/>
          <w:sz w:val="24"/>
        </w:rPr>
        <w:t xml:space="preserve"> 广州市生态保护红线规划图</w:t>
      </w:r>
    </w:p>
    <w:p>
      <w:pPr>
        <w:adjustRightInd w:val="0"/>
        <w:snapToGrid w:val="0"/>
        <w:spacing w:afterLines="50"/>
        <w:rPr>
          <w:b/>
          <w:bCs/>
          <w:sz w:val="24"/>
        </w:rPr>
        <w:sectPr>
          <w:pgSz w:w="11906" w:h="16838"/>
          <w:pgMar w:top="1440" w:right="1286" w:bottom="1440" w:left="960" w:header="851" w:footer="992" w:gutter="0"/>
          <w:pgNumType w:fmt="decimal"/>
          <w:cols w:space="720" w:num="1"/>
          <w:docGrid w:type="lines" w:linePitch="312" w:charSpace="0"/>
        </w:sectPr>
      </w:pPr>
    </w:p>
    <w:p>
      <w:pPr>
        <w:jc w:val="center"/>
        <w:rPr>
          <w:rFonts w:hint="eastAsia"/>
          <w:b/>
          <w:color w:val="auto"/>
        </w:rPr>
      </w:pPr>
      <w:r>
        <w:rPr>
          <w:color w:val="auto"/>
        </w:rPr>
        <w:pict>
          <v:shape id="_x0000_s1089" o:spid="_x0000_s1089" o:spt="61" type="#_x0000_t61" style="position:absolute;left:0pt;margin-left:158.05pt;margin-top:436.55pt;height:20pt;width:60.55pt;z-index:390714368;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r>
        <w:rPr>
          <w:color w:val="auto"/>
        </w:rPr>
        <w:pict>
          <v:shape id="_x0000_s1088" o:spid="_x0000_s1088" o:spt="12" type="#_x0000_t12" style="position:absolute;left:0pt;margin-left:146.8pt;margin-top:482.5pt;height:10.85pt;width:10.1pt;z-index:390713344;mso-width-relative:page;mso-height-relative:page;" fillcolor="#FF0000" filled="t" stroked="t" insetpen="f" coordsize="21600,21600">
            <v:path/>
            <v:fill on="t" alignshape="1" focussize="0,0"/>
            <v:stroke imagealignshape="1"/>
            <v:imagedata o:title=""/>
            <o:lock v:ext="edit"/>
          </v:shape>
        </w:pict>
      </w:r>
      <w:r>
        <w:drawing>
          <wp:anchor distT="0" distB="0" distL="114300" distR="114300" simplePos="0" relativeHeight="390615040" behindDoc="0" locked="0" layoutInCell="1" allowOverlap="1">
            <wp:simplePos x="0" y="0"/>
            <wp:positionH relativeFrom="column">
              <wp:posOffset>639445</wp:posOffset>
            </wp:positionH>
            <wp:positionV relativeFrom="paragraph">
              <wp:posOffset>4920615</wp:posOffset>
            </wp:positionV>
            <wp:extent cx="3010535" cy="2776220"/>
            <wp:effectExtent l="9525" t="9525" r="27940" b="14605"/>
            <wp:wrapNone/>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25"/>
                    <a:stretch>
                      <a:fillRect/>
                    </a:stretch>
                  </pic:blipFill>
                  <pic:spPr>
                    <a:xfrm>
                      <a:off x="0" y="0"/>
                      <a:ext cx="3010535" cy="2776220"/>
                    </a:xfrm>
                    <a:prstGeom prst="rect">
                      <a:avLst/>
                    </a:prstGeom>
                    <a:noFill/>
                    <a:ln>
                      <a:solidFill>
                        <a:schemeClr val="tx1"/>
                      </a:solidFill>
                    </a:ln>
                  </pic:spPr>
                </pic:pic>
              </a:graphicData>
            </a:graphic>
          </wp:anchor>
        </w:drawing>
      </w:r>
      <w:r>
        <w:rPr>
          <w:color w:val="auto"/>
        </w:rPr>
        <w:pict>
          <v:shape id="_x0000_s1091" o:spid="_x0000_s1091" o:spt="61" type="#_x0000_t61" style="position:absolute;left:0pt;margin-left:171.25pt;margin-top:280.15pt;height:20pt;width:60.55pt;z-index:390615040;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r>
        <w:rPr>
          <w:color w:val="auto"/>
        </w:rPr>
        <w:pict>
          <v:shape id="_x0000_s1092" o:spid="_x0000_s1092" o:spt="12" type="#_x0000_t12" style="position:absolute;left:0pt;margin-left:161.8pt;margin-top:328pt;height:10.85pt;width:10.1pt;z-index:390614016;mso-width-relative:page;mso-height-relative:page;" fillcolor="#FF0000" filled="t" stroked="t" insetpen="f" coordsize="21600,21600">
            <v:path/>
            <v:fill on="t" alignshape="1" focussize="0,0"/>
            <v:stroke imagealignshape="1"/>
            <v:imagedata o:title=""/>
            <o:lock v:ext="edit"/>
          </v:shape>
        </w:pict>
      </w:r>
      <w:r>
        <w:rPr>
          <w:color w:val="auto"/>
        </w:rPr>
        <w:drawing>
          <wp:inline distT="0" distB="0" distL="114300" distR="114300">
            <wp:extent cx="6097905" cy="8635365"/>
            <wp:effectExtent l="0" t="0" r="17145" b="1333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26"/>
                    <a:stretch>
                      <a:fillRect/>
                    </a:stretch>
                  </pic:blipFill>
                  <pic:spPr>
                    <a:xfrm>
                      <a:off x="0" y="0"/>
                      <a:ext cx="6097905" cy="8635365"/>
                    </a:xfrm>
                    <a:prstGeom prst="rect">
                      <a:avLst/>
                    </a:prstGeom>
                    <a:noFill/>
                    <a:ln>
                      <a:noFill/>
                    </a:ln>
                  </pic:spPr>
                </pic:pic>
              </a:graphicData>
            </a:graphic>
          </wp:inline>
        </w:drawing>
      </w:r>
    </w:p>
    <w:p>
      <w:pPr>
        <w:widowControl/>
        <w:jc w:val="center"/>
        <w:rPr>
          <w:rFonts w:hint="eastAsia"/>
          <w:b/>
          <w:sz w:val="24"/>
        </w:rPr>
        <w:sectPr>
          <w:pgSz w:w="11906" w:h="16838"/>
          <w:pgMar w:top="720" w:right="720" w:bottom="720" w:left="720" w:header="851" w:footer="992" w:gutter="0"/>
          <w:cols w:space="720" w:num="1"/>
          <w:docGrid w:type="lines" w:linePitch="312" w:charSpace="0"/>
        </w:sectPr>
      </w:pPr>
      <w:r>
        <w:rPr>
          <w:rFonts w:hint="eastAsia"/>
          <w:b/>
          <w:sz w:val="24"/>
        </w:rPr>
        <w:t>附图</w:t>
      </w:r>
      <w:r>
        <w:rPr>
          <w:rFonts w:hint="eastAsia"/>
          <w:b/>
          <w:sz w:val="24"/>
          <w:lang w:val="en-US" w:eastAsia="zh-CN"/>
        </w:rPr>
        <w:t>8</w:t>
      </w:r>
      <w:r>
        <w:rPr>
          <w:rFonts w:hint="eastAsia"/>
          <w:b/>
          <w:sz w:val="24"/>
        </w:rPr>
        <w:t xml:space="preserve">  广州市生态环境空间管控图</w:t>
      </w:r>
    </w:p>
    <w:p>
      <w:pPr>
        <w:jc w:val="center"/>
      </w:pPr>
      <w:r>
        <w:rPr>
          <w:color w:val="auto"/>
        </w:rPr>
        <w:drawing>
          <wp:anchor distT="0" distB="0" distL="114300" distR="114300" simplePos="0" relativeHeight="390842368" behindDoc="0" locked="0" layoutInCell="1" allowOverlap="1">
            <wp:simplePos x="0" y="0"/>
            <wp:positionH relativeFrom="column">
              <wp:posOffset>505460</wp:posOffset>
            </wp:positionH>
            <wp:positionV relativeFrom="paragraph">
              <wp:posOffset>5297805</wp:posOffset>
            </wp:positionV>
            <wp:extent cx="2966720" cy="2599055"/>
            <wp:effectExtent l="9525" t="9525" r="14605" b="20320"/>
            <wp:wrapNone/>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7"/>
                    <a:stretch>
                      <a:fillRect/>
                    </a:stretch>
                  </pic:blipFill>
                  <pic:spPr>
                    <a:xfrm>
                      <a:off x="0" y="0"/>
                      <a:ext cx="2966720" cy="259905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rPr>
        <w:pict>
          <v:shape id="_x0000_s1093" o:spid="_x0000_s1093" o:spt="61" type="#_x0000_t61" style="position:absolute;left:0pt;margin-left:87.35pt;margin-top:491.35pt;height:20pt;width:60.55pt;z-index:390844416;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r>
        <w:rPr>
          <w:color w:val="auto"/>
        </w:rPr>
        <w:pict>
          <v:shape id="_x0000_s1094" o:spid="_x0000_s1094" o:spt="12" type="#_x0000_t12" style="position:absolute;left:0pt;margin-left:77.35pt;margin-top:539.05pt;height:10.85pt;width:10.1pt;z-index:390843392;mso-width-relative:page;mso-height-relative:page;" fillcolor="#FF0000" filled="t" stroked="t" insetpen="f" coordsize="21600,21600">
            <v:path/>
            <v:fill on="t" alignshape="1" focussize="0,0"/>
            <v:stroke imagealignshape="1"/>
            <v:imagedata o:title=""/>
            <o:lock v:ext="edit"/>
          </v:shape>
        </w:pict>
      </w:r>
      <w:r>
        <w:rPr>
          <w:color w:val="auto"/>
        </w:rPr>
        <w:pict>
          <v:shape id="_x0000_s1096" o:spid="_x0000_s1096" o:spt="61" type="#_x0000_t61" style="position:absolute;left:0pt;margin-left:164.8pt;margin-top:286.55pt;height:20pt;width:60.55pt;z-index:390744064;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r>
        <w:rPr>
          <w:color w:val="auto"/>
        </w:rPr>
        <w:pict>
          <v:shape id="_x0000_s1097" o:spid="_x0000_s1097" o:spt="12" type="#_x0000_t12" style="position:absolute;left:0pt;margin-left:154.95pt;margin-top:333.3pt;height:10.85pt;width:10.1pt;z-index:390743040;mso-width-relative:page;mso-height-relative:page;" fillcolor="#FF0000" filled="t" stroked="t" insetpen="f" coordsize="21600,21600">
            <v:path/>
            <v:fill on="t" alignshape="1" focussize="0,0"/>
            <v:stroke imagealignshape="1"/>
            <v:imagedata o:title=""/>
            <o:lock v:ext="edit"/>
          </v:shape>
        </w:pict>
      </w:r>
      <w:r>
        <w:rPr>
          <w:color w:val="auto"/>
        </w:rPr>
        <w:drawing>
          <wp:inline distT="0" distB="0" distL="114300" distR="114300">
            <wp:extent cx="6386195" cy="8743315"/>
            <wp:effectExtent l="0" t="0" r="14605" b="635"/>
            <wp:docPr id="17" name="图片 7"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C:\Users\Administrator\Desktop\2.jpg"/>
                    <pic:cNvPicPr>
                      <a:picLocks noChangeAspect="1"/>
                    </pic:cNvPicPr>
                  </pic:nvPicPr>
                  <pic:blipFill>
                    <a:blip r:embed="rId28"/>
                    <a:srcRect t="1495" b="1709"/>
                    <a:stretch>
                      <a:fillRect/>
                    </a:stretch>
                  </pic:blipFill>
                  <pic:spPr>
                    <a:xfrm>
                      <a:off x="0" y="0"/>
                      <a:ext cx="6386195" cy="8743315"/>
                    </a:xfrm>
                    <a:prstGeom prst="rect">
                      <a:avLst/>
                    </a:prstGeom>
                    <a:noFill/>
                    <a:ln>
                      <a:noFill/>
                    </a:ln>
                  </pic:spPr>
                </pic:pic>
              </a:graphicData>
            </a:graphic>
          </wp:inline>
        </w:drawing>
      </w:r>
    </w:p>
    <w:p>
      <w:pPr>
        <w:adjustRightInd w:val="0"/>
        <w:snapToGrid w:val="0"/>
        <w:spacing w:afterLines="50"/>
        <w:jc w:val="center"/>
        <w:rPr>
          <w:b/>
          <w:sz w:val="24"/>
        </w:rPr>
        <w:sectPr>
          <w:pgSz w:w="11907" w:h="16840"/>
          <w:pgMar w:top="720" w:right="720" w:bottom="720" w:left="720" w:header="851" w:footer="992" w:gutter="0"/>
          <w:pgNumType w:fmt="decimal"/>
          <w:cols w:space="720" w:num="1"/>
          <w:docGrid w:type="linesAndChars" w:linePitch="312" w:charSpace="0"/>
        </w:sectPr>
      </w:pPr>
      <w:r>
        <w:rPr>
          <w:b/>
          <w:bCs/>
          <w:sz w:val="24"/>
        </w:rPr>
        <w:t>附图</w:t>
      </w:r>
      <w:r>
        <w:rPr>
          <w:rFonts w:hint="eastAsia"/>
          <w:b/>
          <w:bCs/>
          <w:sz w:val="24"/>
          <w:lang w:val="en-US" w:eastAsia="zh-CN"/>
        </w:rPr>
        <w:t>9</w:t>
      </w:r>
      <w:r>
        <w:rPr>
          <w:b/>
          <w:bCs/>
          <w:sz w:val="24"/>
        </w:rPr>
        <w:t xml:space="preserve"> </w:t>
      </w:r>
      <w:r>
        <w:rPr>
          <w:rFonts w:hint="eastAsia"/>
          <w:b/>
          <w:bCs/>
          <w:sz w:val="24"/>
          <w:lang w:val="en-US" w:eastAsia="zh-CN"/>
        </w:rPr>
        <w:t xml:space="preserve"> </w:t>
      </w:r>
      <w:r>
        <w:rPr>
          <w:rFonts w:hint="eastAsia"/>
          <w:b/>
          <w:bCs/>
          <w:sz w:val="24"/>
        </w:rPr>
        <w:t>广州市大气环境空间管控区图</w:t>
      </w:r>
    </w:p>
    <w:p>
      <w:pPr>
        <w:jc w:val="center"/>
        <w:rPr>
          <w:rFonts w:hint="eastAsia"/>
          <w:b/>
          <w:color w:val="auto"/>
        </w:rPr>
      </w:pPr>
      <w:r>
        <w:rPr>
          <w:b/>
          <w:color w:val="auto"/>
          <w:szCs w:val="21"/>
        </w:rPr>
        <w:pict>
          <v:shape id="_x0000_s1102" o:spid="_x0000_s1102" o:spt="12" type="#_x0000_t12" style="position:absolute;left:0pt;margin-left:160.75pt;margin-top:332.6pt;height:10.85pt;width:10.1pt;z-index:390875136;mso-width-relative:page;mso-height-relative:page;" fillcolor="#FF0000" filled="t" stroked="t" insetpen="f" coordsize="21600,21600">
            <v:path/>
            <v:fill on="t" alignshape="1" focussize="0,0"/>
            <v:stroke imagealignshape="1"/>
            <v:imagedata o:title=""/>
            <o:lock v:ext="edit"/>
          </v:shape>
        </w:pict>
      </w:r>
      <w:r>
        <w:rPr>
          <w:color w:val="auto"/>
        </w:rPr>
        <w:pict>
          <v:shape id="_x0000_s1099" o:spid="_x0000_s1099" o:spt="61" type="#_x0000_t61" style="position:absolute;left:0pt;margin-left:138.7pt;margin-top:490.25pt;height:20pt;width:60.55pt;z-index:390977536;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r>
        <w:rPr>
          <w:color w:val="auto"/>
        </w:rPr>
        <w:pict>
          <v:shape id="_x0000_s1098" o:spid="_x0000_s1098" o:spt="12" type="#_x0000_t12" style="position:absolute;left:0pt;margin-left:129.15pt;margin-top:535.3pt;height:10.85pt;width:10.1pt;z-index:390976512;mso-width-relative:page;mso-height-relative:page;" fillcolor="#FF0000" filled="t" stroked="t" insetpen="f" coordsize="21600,21600">
            <v:path/>
            <v:fill on="t" alignshape="1" focussize="0,0"/>
            <v:stroke imagealignshape="1"/>
            <v:imagedata o:title=""/>
            <o:lock v:ext="edit"/>
          </v:shape>
        </w:pict>
      </w:r>
      <w:r>
        <w:drawing>
          <wp:anchor distT="0" distB="0" distL="114300" distR="114300" simplePos="0" relativeHeight="390876160" behindDoc="0" locked="0" layoutInCell="1" allowOverlap="1">
            <wp:simplePos x="0" y="0"/>
            <wp:positionH relativeFrom="column">
              <wp:posOffset>550545</wp:posOffset>
            </wp:positionH>
            <wp:positionV relativeFrom="paragraph">
              <wp:posOffset>4900930</wp:posOffset>
            </wp:positionV>
            <wp:extent cx="3076575" cy="2945765"/>
            <wp:effectExtent l="9525" t="9525" r="19050" b="16510"/>
            <wp:wrapNone/>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29"/>
                    <a:stretch>
                      <a:fillRect/>
                    </a:stretch>
                  </pic:blipFill>
                  <pic:spPr>
                    <a:xfrm>
                      <a:off x="0" y="0"/>
                      <a:ext cx="3076575" cy="2945765"/>
                    </a:xfrm>
                    <a:prstGeom prst="rect">
                      <a:avLst/>
                    </a:prstGeom>
                    <a:noFill/>
                    <a:ln>
                      <a:solidFill>
                        <a:schemeClr val="tx1"/>
                      </a:solidFill>
                    </a:ln>
                  </pic:spPr>
                </pic:pic>
              </a:graphicData>
            </a:graphic>
          </wp:anchor>
        </w:drawing>
      </w:r>
      <w:r>
        <w:rPr>
          <w:b/>
          <w:color w:val="auto"/>
          <w:szCs w:val="21"/>
        </w:rPr>
        <w:pict>
          <v:shape id="_x0000_s1101" o:spid="_x0000_s1101" o:spt="61" type="#_x0000_t61" style="position:absolute;left:0pt;margin-left:168.7pt;margin-top:284.9pt;height:20pt;width:60.55pt;z-index:390876160;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r>
        <w:rPr>
          <w:b/>
          <w:color w:val="auto"/>
          <w:szCs w:val="21"/>
        </w:rPr>
        <w:drawing>
          <wp:inline distT="0" distB="0" distL="114300" distR="114300">
            <wp:extent cx="6283960" cy="8874760"/>
            <wp:effectExtent l="0" t="0" r="2540" b="2540"/>
            <wp:docPr id="20" name="图片 9"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descr="C:\Users\Administrator\Desktop\3.jpg"/>
                    <pic:cNvPicPr>
                      <a:picLocks noChangeAspect="1"/>
                    </pic:cNvPicPr>
                  </pic:nvPicPr>
                  <pic:blipFill>
                    <a:blip r:embed="rId30"/>
                    <a:stretch>
                      <a:fillRect/>
                    </a:stretch>
                  </pic:blipFill>
                  <pic:spPr>
                    <a:xfrm>
                      <a:off x="0" y="0"/>
                      <a:ext cx="6283960" cy="8874760"/>
                    </a:xfrm>
                    <a:prstGeom prst="rect">
                      <a:avLst/>
                    </a:prstGeom>
                    <a:noFill/>
                    <a:ln>
                      <a:noFill/>
                    </a:ln>
                  </pic:spPr>
                </pic:pic>
              </a:graphicData>
            </a:graphic>
          </wp:inline>
        </w:drawing>
      </w:r>
    </w:p>
    <w:p>
      <w:pPr>
        <w:adjustRightInd w:val="0"/>
        <w:snapToGrid w:val="0"/>
        <w:spacing w:afterLines="50"/>
        <w:jc w:val="center"/>
        <w:rPr>
          <w:rFonts w:hint="eastAsia"/>
          <w:b/>
          <w:bCs/>
          <w:sz w:val="24"/>
        </w:rPr>
        <w:sectPr>
          <w:pgSz w:w="11907" w:h="16840"/>
          <w:pgMar w:top="720" w:right="720" w:bottom="720" w:left="720" w:header="851" w:footer="992" w:gutter="0"/>
          <w:pgNumType w:fmt="decimal"/>
          <w:cols w:space="720" w:num="1"/>
          <w:docGrid w:type="linesAndChars" w:linePitch="312" w:charSpace="0"/>
        </w:sectPr>
      </w:pPr>
      <w:r>
        <w:rPr>
          <w:b/>
          <w:bCs/>
          <w:sz w:val="24"/>
        </w:rPr>
        <w:t>附图</w:t>
      </w:r>
      <w:r>
        <w:rPr>
          <w:rFonts w:hint="eastAsia"/>
          <w:b/>
          <w:bCs/>
          <w:sz w:val="24"/>
          <w:lang w:val="en-US" w:eastAsia="zh-CN"/>
        </w:rPr>
        <w:t>10</w:t>
      </w:r>
      <w:r>
        <w:rPr>
          <w:b/>
          <w:bCs/>
          <w:sz w:val="24"/>
        </w:rPr>
        <w:t xml:space="preserve"> </w:t>
      </w:r>
      <w:r>
        <w:rPr>
          <w:rFonts w:hint="eastAsia"/>
          <w:b/>
          <w:bCs/>
          <w:sz w:val="24"/>
        </w:rPr>
        <w:t>广州市水环境空间管控区图</w:t>
      </w:r>
    </w:p>
    <w:p>
      <w:pPr>
        <w:rPr>
          <w:rFonts w:hint="eastAsia"/>
          <w:b/>
          <w:bCs/>
          <w:sz w:val="24"/>
        </w:rPr>
      </w:pPr>
      <w:r>
        <w:rPr>
          <w:color w:val="auto"/>
        </w:rPr>
        <w:drawing>
          <wp:anchor distT="0" distB="0" distL="114300" distR="114300" simplePos="0" relativeHeight="390877184" behindDoc="0" locked="0" layoutInCell="1" allowOverlap="1">
            <wp:simplePos x="0" y="0"/>
            <wp:positionH relativeFrom="column">
              <wp:posOffset>2228850</wp:posOffset>
            </wp:positionH>
            <wp:positionV relativeFrom="paragraph">
              <wp:posOffset>-1218565</wp:posOffset>
            </wp:positionV>
            <wp:extent cx="5549900" cy="7849870"/>
            <wp:effectExtent l="0" t="0" r="17780" b="12700"/>
            <wp:wrapNone/>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Rot="1" noChangeAspect="1"/>
                    </pic:cNvPicPr>
                  </pic:nvPicPr>
                  <pic:blipFill>
                    <a:blip r:embed="rId31" r:link="rId32"/>
                    <a:stretch>
                      <a:fillRect/>
                    </a:stretch>
                  </pic:blipFill>
                  <pic:spPr>
                    <a:xfrm rot="5400000">
                      <a:off x="0" y="0"/>
                      <a:ext cx="5549900" cy="7849870"/>
                    </a:xfrm>
                    <a:prstGeom prst="snip1Rect">
                      <a:avLst/>
                    </a:prstGeom>
                    <a:noFill/>
                    <a:ln>
                      <a:noFill/>
                    </a:ln>
                  </pic:spPr>
                </pic:pic>
              </a:graphicData>
            </a:graphic>
          </wp:anchor>
        </w:drawing>
      </w:r>
    </w:p>
    <w:p>
      <w:pPr>
        <w:pStyle w:val="2"/>
      </w:pPr>
    </w:p>
    <w:p>
      <w:pPr>
        <w:adjustRightInd w:val="0"/>
        <w:snapToGrid w:val="0"/>
        <w:spacing w:afterLines="50"/>
        <w:jc w:val="left"/>
        <w:rPr>
          <w:b/>
          <w:sz w:val="24"/>
        </w:rPr>
      </w:pPr>
    </w:p>
    <w:p>
      <w:pPr>
        <w:jc w:val="center"/>
        <w:rPr>
          <w:color w:val="auto"/>
        </w:rPr>
      </w:pPr>
    </w:p>
    <w:p>
      <w:pPr>
        <w:jc w:val="center"/>
        <w:rPr>
          <w:color w:val="auto"/>
        </w:rPr>
      </w:pPr>
      <w:r>
        <w:rPr>
          <w:color w:val="auto"/>
        </w:rPr>
        <w:pict>
          <v:shape id="_x0000_s1107" o:spid="_x0000_s1107" o:spt="61" type="#_x0000_t61" style="position:absolute;left:0pt;margin-left:258.75pt;margin-top:2.05pt;height:20pt;width:60.55pt;z-index:530367488;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p>
    <w:p>
      <w:pPr>
        <w:rPr>
          <w:rFonts w:hint="eastAsia"/>
        </w:rPr>
      </w:pPr>
    </w:p>
    <w:p>
      <w:pPr>
        <w:pStyle w:val="21"/>
        <w:bidi w:val="0"/>
        <w:jc w:val="center"/>
        <w:rPr>
          <w:rFonts w:hint="eastAsia"/>
          <w:b/>
          <w:bCs/>
        </w:rPr>
      </w:pPr>
      <w:r>
        <w:rPr>
          <w:color w:val="auto"/>
        </w:rPr>
        <w:pict>
          <v:shape id="_x0000_s1108" o:spid="_x0000_s1108" o:spt="12" type="#_x0000_t12" style="position:absolute;left:0pt;margin-left:248.35pt;margin-top:17.7pt;height:10.85pt;width:10.1pt;z-index:530366464;mso-width-relative:page;mso-height-relative:page;" fillcolor="#FF0000" filled="t" stroked="t" insetpen="f" coordsize="21600,21600">
            <v:path/>
            <v:fill on="t" alignshape="1" focussize="0,0"/>
            <v:stroke imagealignshape="1"/>
            <v:imagedata o:title=""/>
            <o:lock v:ext="edit"/>
          </v:shape>
        </w:pict>
      </w:r>
    </w:p>
    <w:p>
      <w:pPr>
        <w:pStyle w:val="21"/>
        <w:bidi w:val="0"/>
        <w:jc w:val="center"/>
        <w:rPr>
          <w:rFonts w:hint="eastAsia"/>
          <w:b/>
          <w:bCs/>
        </w:rPr>
      </w:pPr>
    </w:p>
    <w:p>
      <w:pPr>
        <w:pStyle w:val="21"/>
        <w:bidi w:val="0"/>
        <w:jc w:val="center"/>
        <w:rPr>
          <w:rFonts w:hint="eastAsia"/>
          <w:b/>
          <w:bCs/>
        </w:rPr>
      </w:pPr>
    </w:p>
    <w:p>
      <w:pPr>
        <w:pStyle w:val="21"/>
        <w:bidi w:val="0"/>
        <w:jc w:val="center"/>
        <w:rPr>
          <w:rFonts w:hint="eastAsia"/>
          <w:b/>
          <w:bCs/>
        </w:rPr>
      </w:pPr>
    </w:p>
    <w:p>
      <w:pPr>
        <w:pStyle w:val="21"/>
        <w:bidi w:val="0"/>
        <w:jc w:val="center"/>
        <w:rPr>
          <w:rFonts w:hint="eastAsia"/>
          <w:b/>
          <w:bCs/>
        </w:rPr>
      </w:pPr>
    </w:p>
    <w:p>
      <w:pPr>
        <w:pStyle w:val="21"/>
        <w:bidi w:val="0"/>
        <w:jc w:val="center"/>
        <w:rPr>
          <w:rFonts w:hint="eastAsia"/>
          <w:b/>
          <w:bCs/>
        </w:rPr>
      </w:pPr>
    </w:p>
    <w:p>
      <w:pPr>
        <w:pStyle w:val="21"/>
        <w:bidi w:val="0"/>
        <w:jc w:val="center"/>
        <w:rPr>
          <w:rFonts w:hint="eastAsia"/>
          <w:b/>
          <w:bCs/>
        </w:rPr>
      </w:pPr>
    </w:p>
    <w:p>
      <w:pPr>
        <w:pStyle w:val="21"/>
        <w:bidi w:val="0"/>
        <w:jc w:val="center"/>
        <w:rPr>
          <w:rFonts w:hint="eastAsia"/>
          <w:b/>
          <w:bCs/>
        </w:rPr>
      </w:pPr>
    </w:p>
    <w:p>
      <w:pPr>
        <w:pStyle w:val="21"/>
        <w:bidi w:val="0"/>
        <w:jc w:val="center"/>
        <w:rPr>
          <w:rFonts w:hint="eastAsia"/>
          <w:b/>
          <w:bCs/>
        </w:rPr>
      </w:pPr>
    </w:p>
    <w:p>
      <w:pPr>
        <w:pStyle w:val="21"/>
        <w:bidi w:val="0"/>
        <w:jc w:val="center"/>
        <w:rPr>
          <w:rFonts w:hint="eastAsia"/>
          <w:b/>
          <w:bCs/>
        </w:rPr>
      </w:pPr>
    </w:p>
    <w:p>
      <w:pPr>
        <w:pStyle w:val="21"/>
        <w:bidi w:val="0"/>
        <w:jc w:val="center"/>
        <w:rPr>
          <w:rFonts w:hint="eastAsia"/>
          <w:b/>
          <w:bCs/>
        </w:rPr>
      </w:pPr>
    </w:p>
    <w:p>
      <w:pPr>
        <w:pStyle w:val="21"/>
        <w:bidi w:val="0"/>
        <w:jc w:val="center"/>
        <w:rPr>
          <w:rFonts w:hint="eastAsia"/>
          <w:b/>
          <w:bCs/>
        </w:rPr>
      </w:pPr>
    </w:p>
    <w:p>
      <w:pPr>
        <w:pStyle w:val="21"/>
        <w:bidi w:val="0"/>
        <w:jc w:val="center"/>
      </w:pPr>
      <w:r>
        <w:rPr>
          <w:rFonts w:hint="eastAsia"/>
          <w:b/>
          <w:bCs/>
        </w:rPr>
        <w:t>附图</w:t>
      </w:r>
      <w:r>
        <w:rPr>
          <w:rFonts w:hint="eastAsia"/>
          <w:b/>
          <w:bCs/>
          <w:lang w:val="en-US" w:eastAsia="zh-CN"/>
        </w:rPr>
        <w:t xml:space="preserve">11  </w:t>
      </w:r>
      <w:r>
        <w:rPr>
          <w:rFonts w:hint="eastAsia"/>
          <w:b/>
          <w:bCs/>
        </w:rPr>
        <w:t>广州市环境空气质量功能区划图</w:t>
      </w:r>
    </w:p>
    <w:p>
      <w:pPr>
        <w:pStyle w:val="21"/>
        <w:bidi w:val="0"/>
        <w:jc w:val="center"/>
        <w:rPr>
          <w:rFonts w:hint="eastAsia"/>
          <w:b/>
          <w:bCs/>
        </w:rPr>
        <w:sectPr>
          <w:pgSz w:w="16840" w:h="11907" w:orient="landscape"/>
          <w:pgMar w:top="720" w:right="720" w:bottom="720" w:left="720" w:header="851" w:footer="992" w:gutter="0"/>
          <w:pgNumType w:fmt="decimal"/>
          <w:cols w:space="720" w:num="1"/>
          <w:docGrid w:type="linesAndChars" w:linePitch="312" w:charSpace="0"/>
        </w:sect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pPr>
      <w:r>
        <w:rPr>
          <w:b/>
          <w:color w:val="auto"/>
        </w:rPr>
        <w:pict>
          <v:shape id="_x0000_s1105" o:spid="_x0000_s1105" o:spt="61" type="#_x0000_t61" style="position:absolute;left:0pt;margin-left:190.25pt;margin-top:231.5pt;height:20pt;width:60.55pt;z-index:530333696;mso-width-relative:page;mso-height-relative:page;" fillcolor="#FFFFFF" filled="t" stroked="t" insetpen="f" coordsize="21600,21600" adj="-392,50436">
            <v:path/>
            <v:fill on="t" alignshape="1" focussize="0,0"/>
            <v:stroke weight="0.5pt" imagealignshape="1"/>
            <v:imagedata o:title=""/>
            <o:lock v:ext="edit"/>
            <v:textbox>
              <w:txbxContent>
                <w:p>
                  <w:pPr>
                    <w:adjustRightInd w:val="0"/>
                    <w:snapToGrid w:val="0"/>
                    <w:spacing w:line="240" w:lineRule="auto"/>
                    <w:rPr>
                      <w:rFonts w:hint="eastAsia"/>
                      <w:b/>
                      <w:sz w:val="21"/>
                      <w:szCs w:val="21"/>
                    </w:rPr>
                  </w:pPr>
                  <w:r>
                    <w:rPr>
                      <w:rFonts w:hint="eastAsia"/>
                      <w:b/>
                      <w:sz w:val="21"/>
                      <w:szCs w:val="21"/>
                    </w:rPr>
                    <w:t>项目</w:t>
                  </w:r>
                  <w:r>
                    <w:rPr>
                      <w:b/>
                      <w:sz w:val="21"/>
                      <w:szCs w:val="21"/>
                    </w:rPr>
                    <w:t>位置</w:t>
                  </w:r>
                </w:p>
              </w:txbxContent>
            </v:textbox>
          </v:shape>
        </w:pict>
      </w:r>
      <w:r>
        <w:rPr>
          <w:b/>
          <w:color w:val="auto"/>
        </w:rPr>
        <w:pict>
          <v:shape id="_x0000_s1106" o:spid="_x0000_s1106" o:spt="12" type="#_x0000_t12" style="position:absolute;left:0pt;margin-left:181.4pt;margin-top:275.4pt;height:10.85pt;width:10.1pt;z-index:530332672;mso-width-relative:page;mso-height-relative:page;" fillcolor="#FF0000" filled="t" stroked="t" insetpen="f" coordsize="21600,21600">
            <v:path/>
            <v:fill on="t" alignshape="1" focussize="0,0"/>
            <v:stroke imagealignshape="1"/>
            <v:imagedata o:title=""/>
            <o:lock v:ext="edit"/>
          </v:shape>
        </w:pict>
      </w:r>
      <w:r>
        <w:rPr>
          <w:color w:val="auto"/>
        </w:rPr>
        <w:drawing>
          <wp:inline distT="0" distB="0" distL="114300" distR="114300">
            <wp:extent cx="6471285" cy="7045960"/>
            <wp:effectExtent l="0" t="0" r="5715" b="2540"/>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33"/>
                    <a:srcRect t="8463" b="15532"/>
                    <a:stretch>
                      <a:fillRect/>
                    </a:stretch>
                  </pic:blipFill>
                  <pic:spPr>
                    <a:xfrm>
                      <a:off x="0" y="0"/>
                      <a:ext cx="6471285" cy="7045960"/>
                    </a:xfrm>
                    <a:prstGeom prst="rect">
                      <a:avLst/>
                    </a:prstGeom>
                    <a:noFill/>
                    <a:ln>
                      <a:noFill/>
                    </a:ln>
                  </pic:spPr>
                </pic:pic>
              </a:graphicData>
            </a:graphic>
          </wp:inline>
        </w:drawing>
      </w:r>
    </w:p>
    <w:p>
      <w:pPr>
        <w:jc w:val="center"/>
        <w:sectPr>
          <w:pgSz w:w="11907" w:h="16840"/>
          <w:pgMar w:top="720" w:right="720" w:bottom="720" w:left="720" w:header="851" w:footer="992" w:gutter="0"/>
          <w:pgNumType w:fmt="decimal"/>
          <w:cols w:space="720" w:num="1"/>
          <w:docGrid w:type="linesAndChars" w:linePitch="312" w:charSpace="0"/>
        </w:sectPr>
      </w:pPr>
      <w:r>
        <w:rPr>
          <w:b/>
          <w:bCs/>
          <w:sz w:val="24"/>
        </w:rPr>
        <w:t>附图</w:t>
      </w:r>
      <w:r>
        <w:rPr>
          <w:rFonts w:hint="eastAsia"/>
          <w:b/>
          <w:bCs/>
          <w:sz w:val="24"/>
          <w:lang w:val="en-US" w:eastAsia="zh-CN"/>
        </w:rPr>
        <w:t>12</w:t>
      </w:r>
      <w:r>
        <w:rPr>
          <w:b/>
          <w:bCs/>
          <w:sz w:val="24"/>
        </w:rPr>
        <w:t xml:space="preserve"> </w:t>
      </w:r>
      <w:r>
        <w:rPr>
          <w:rFonts w:hint="eastAsia"/>
          <w:b/>
          <w:bCs/>
          <w:sz w:val="24"/>
        </w:rPr>
        <w:t>广州市白云区环境噪声功能区划图</w:t>
      </w:r>
    </w:p>
    <w:p>
      <w:pPr>
        <w:adjustRightInd w:val="0"/>
        <w:snapToGrid w:val="0"/>
        <w:spacing w:afterLines="50"/>
        <w:jc w:val="left"/>
        <w:rPr>
          <w:b/>
          <w:bCs/>
          <w:sz w:val="24"/>
        </w:rPr>
      </w:pPr>
      <w:r>
        <w:rPr>
          <w:b/>
          <w:sz w:val="24"/>
        </w:rPr>
        <w:pict>
          <v:group id="_x0000_s1037" o:spid="_x0000_s1037" o:spt="203" style="position:absolute;left:0pt;margin-left:143.1pt;margin-top:-430.55pt;height:75.35pt;width:88.3pt;z-index:251728896;mso-width-relative:page;mso-height-relative:page;" coordorigin="3883,6714" coordsize="1766,1507203" o:gfxdata="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hQzBmNwAAAANAQAADwAAAAAAAAABACAAAAAiAAAAZHJzL2Rv&#10;d25yZXYueG1sUEsBAhQAFAAAAAgAh07iQNb79GcaAwAA9QcAAA4AAAAAAAAAAQAgAAAAKwEAAGRy&#10;cy9lMm9Eb2MueG1sUEsFBgAAAAAGAAYAWQEAALcGAAAAAA==&#10;">
            <o:lock v:ext="edit"/>
            <v:shape id="_x0000_s1038" o:spid="_x0000_s1038" o:spt="120" type="#_x0000_t120" style="position:absolute;left:3883;top:7968;height:253;width:253;" fillcolor="#FFC000" filled="t" stroked="t" coordsize="21600,21600" o:gfxdata="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uPDevQAA&#10;ANsAAAAPAAAAAAAAAAEAIAAAACIAAABkcnMvZG93bnJldi54bWxQSwECFAAUAAAACACHTuJAMy8F&#10;njsAAAA5AAAAEAAAAAAAAAABACAAAAAMAQAAZHJzL3NoYXBleG1sLnhtbFBLBQYAAAAABgAGAFsB&#10;AAC2AwAAAAA=&#10;">
              <v:path/>
              <v:fill on="t" focussize="0,0"/>
              <v:stroke weight="1.25pt" color="#00B050"/>
              <v:imagedata o:title=""/>
              <o:lock v:ext="edit"/>
            </v:shape>
            <v:shape id="_x0000_s1039" o:spid="_x0000_s1039" o:spt="62" type="#_x0000_t62" style="position:absolute;left:4136;top:6714;height:510;width:1513;" fillcolor="#FFFF00" filled="t" stroked="t" coordsize="21600,21600" o:gfxdata="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P6nFS/&#10;AAAA2wAAAA8AAAAAAAAAAQAgAAAAIgAAAGRycy9kb3ducmV2LnhtbFBLAQIUABQAAAAIAIdO4kAz&#10;LwWeOwAAADkAAAAQAAAAAAAAAAEAIAAAAA4BAABkcnMvc2hhcGV4bWwueG1sUEsFBgAAAAAGAAYA&#10;WwEAALgDAAAAAA==&#10;" adj="-1085,55440,14400">
              <v:path/>
              <v:fill on="t" focussize="0,0"/>
              <v:stroke weight="1.25pt" color="#0D0D0D" joinstyle="miter"/>
              <v:imagedata o:title=""/>
              <o:lock v:ext="edit"/>
              <v:textbox>
                <w:txbxContent>
                  <w:p>
                    <w:r>
                      <w:rPr>
                        <w:rFonts w:hint="eastAsia"/>
                      </w:rPr>
                      <w:t>项目所在地</w:t>
                    </w:r>
                  </w:p>
                </w:txbxContent>
              </v:textbox>
            </v:shape>
          </v:group>
        </w:pict>
      </w:r>
      <w:r>
        <w:rPr>
          <w:rFonts w:hint="eastAsia"/>
          <w:b/>
          <w:bCs/>
          <w:sz w:val="24"/>
        </w:rPr>
        <w:t>附件1营业执照</w:t>
      </w:r>
    </w:p>
    <w:p>
      <w:pPr>
        <w:adjustRightInd w:val="0"/>
        <w:snapToGrid w:val="0"/>
        <w:spacing w:afterLines="50"/>
        <w:jc w:val="left"/>
        <w:rPr>
          <w:b/>
          <w:bCs/>
          <w:sz w:val="24"/>
        </w:rPr>
      </w:pPr>
      <w:r>
        <w:rPr>
          <w:b/>
          <w:bCs/>
          <w:sz w:val="24"/>
        </w:rPr>
        <w:drawing>
          <wp:inline distT="0" distB="0" distL="114300" distR="114300">
            <wp:extent cx="6151880" cy="8209915"/>
            <wp:effectExtent l="0" t="0" r="1270" b="635"/>
            <wp:docPr id="101" name="图片 16"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 descr="营业执照"/>
                    <pic:cNvPicPr>
                      <a:picLocks noChangeAspect="1"/>
                    </pic:cNvPicPr>
                  </pic:nvPicPr>
                  <pic:blipFill>
                    <a:blip r:embed="rId34" cstate="print"/>
                    <a:stretch>
                      <a:fillRect/>
                    </a:stretch>
                  </pic:blipFill>
                  <pic:spPr>
                    <a:xfrm>
                      <a:off x="0" y="0"/>
                      <a:ext cx="6151880" cy="8209915"/>
                    </a:xfrm>
                    <a:prstGeom prst="rect">
                      <a:avLst/>
                    </a:prstGeom>
                    <a:noFill/>
                    <a:ln w="9525">
                      <a:noFill/>
                    </a:ln>
                  </pic:spPr>
                </pic:pic>
              </a:graphicData>
            </a:graphic>
          </wp:inline>
        </w:drawing>
      </w:r>
    </w:p>
    <w:p>
      <w:pPr>
        <w:adjustRightInd w:val="0"/>
        <w:snapToGrid w:val="0"/>
        <w:spacing w:afterLines="50"/>
        <w:jc w:val="left"/>
        <w:rPr>
          <w:b/>
          <w:sz w:val="24"/>
        </w:rPr>
        <w:sectPr>
          <w:pgSz w:w="11907" w:h="16840"/>
          <w:pgMar w:top="1134" w:right="1134" w:bottom="1134" w:left="1134" w:header="851" w:footer="992" w:gutter="0"/>
          <w:pgNumType w:fmt="decimal"/>
          <w:cols w:space="720" w:num="1"/>
          <w:docGrid w:type="linesAndChars" w:linePitch="312" w:charSpace="0"/>
        </w:sectPr>
      </w:pPr>
    </w:p>
    <w:p>
      <w:pPr>
        <w:adjustRightInd w:val="0"/>
        <w:snapToGrid w:val="0"/>
        <w:spacing w:afterLines="50"/>
        <w:jc w:val="left"/>
        <w:rPr>
          <w:b/>
          <w:bCs/>
          <w:sz w:val="24"/>
        </w:rPr>
      </w:pPr>
      <w:r>
        <w:rPr>
          <w:b/>
          <w:sz w:val="24"/>
        </w:rPr>
        <w:pict>
          <v:group id="_x0000_s1040" o:spid="_x0000_s1040" o:spt="203" style="position:absolute;left:0pt;margin-left:143.1pt;margin-top:-430.55pt;height:75.35pt;width:88.3pt;z-index:251729920;mso-width-relative:page;mso-height-relative:page;" coordorigin="3883,6714" coordsize="1766,1507203" o:gfxdata="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IUMwZjcAAAADQEAAA8AAAAAAAAAAQAgAAAAIgAAAGRycy9k&#10;b3ducmV2LnhtbFBLAQIUABQAAAAIAIdO4kArz7j7GwMAAPUHAAAOAAAAAAAAAAEAIAAAACsBAABk&#10;cnMvZTJvRG9jLnhtbFBLBQYAAAAABgAGAFkBAAC4BgAAAAA=&#10;">
            <o:lock v:ext="edit"/>
            <v:shape id="_x0000_s1041" o:spid="_x0000_s1041" o:spt="120" type="#_x0000_t120" style="position:absolute;left:3883;top:7968;height:253;width:253;" fillcolor="#FFC000" filled="t" stroked="t" coordsize="21600,21600" o:gfxdata="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C3DmLsAAADb&#10;AAAADwAAAAAAAAABACAAAAAiAAAAZHJzL2Rvd25yZXYueG1sUEsBAhQAFAAAAAgAh07iQDMvBZ47&#10;AAAAOQAAABAAAAAAAAAAAQAgAAAACgEAAGRycy9zaGFwZXhtbC54bWxQSwUGAAAAAAYABgBbAQAA&#10;tAMAAAAA&#10;">
              <v:path/>
              <v:fill on="t" focussize="0,0"/>
              <v:stroke weight="1.25pt" color="#00B050"/>
              <v:imagedata o:title=""/>
              <o:lock v:ext="edit"/>
            </v:shape>
            <v:shape id="_x0000_s1042" o:spid="_x0000_s1042" o:spt="62" type="#_x0000_t62" style="position:absolute;left:4136;top:6714;height:510;width:1513;" fillcolor="#FFFF00" filled="t" stroked="t" coordsize="21600,21600" o:gfxdata="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7ye+7sAAADb&#10;AAAADwAAAAAAAAABACAAAAAiAAAAZHJzL2Rvd25yZXYueG1sUEsBAhQAFAAAAAgAh07iQDMvBZ47&#10;AAAAOQAAABAAAAAAAAAAAQAgAAAACgEAAGRycy9zaGFwZXhtbC54bWxQSwUGAAAAAAYABgBbAQAA&#10;tAMAAAAA&#10;" adj="-1085,55440,14400">
              <v:path/>
              <v:fill on="t" focussize="0,0"/>
              <v:stroke weight="1.25pt" color="#0D0D0D" joinstyle="miter"/>
              <v:imagedata o:title=""/>
              <o:lock v:ext="edit"/>
              <v:textbox>
                <w:txbxContent>
                  <w:p>
                    <w:r>
                      <w:rPr>
                        <w:rFonts w:hint="eastAsia"/>
                      </w:rPr>
                      <w:t>项目所在地</w:t>
                    </w:r>
                  </w:p>
                </w:txbxContent>
              </v:textbox>
            </v:shape>
          </v:group>
        </w:pict>
      </w:r>
      <w:r>
        <w:rPr>
          <w:rFonts w:hint="eastAsia"/>
          <w:b/>
          <w:bCs/>
          <w:sz w:val="24"/>
        </w:rPr>
        <w:t>附件2法人身份证</w:t>
      </w:r>
    </w:p>
    <w:p>
      <w:pPr>
        <w:adjustRightInd w:val="0"/>
        <w:snapToGrid w:val="0"/>
        <w:spacing w:afterLines="50"/>
        <w:jc w:val="left"/>
        <w:rPr>
          <w:b/>
          <w:bCs/>
          <w:sz w:val="24"/>
        </w:rPr>
      </w:pPr>
    </w:p>
    <w:p>
      <w:pPr>
        <w:adjustRightInd w:val="0"/>
        <w:snapToGrid w:val="0"/>
        <w:spacing w:afterLines="50"/>
        <w:jc w:val="left"/>
        <w:rPr>
          <w:b/>
          <w:bCs/>
          <w:sz w:val="24"/>
        </w:rPr>
      </w:pPr>
    </w:p>
    <w:p>
      <w:pPr>
        <w:adjustRightInd w:val="0"/>
        <w:snapToGrid w:val="0"/>
        <w:spacing w:afterLines="50"/>
        <w:jc w:val="center"/>
        <w:rPr>
          <w:b/>
          <w:bCs/>
          <w:sz w:val="24"/>
        </w:rPr>
      </w:pPr>
      <w:r>
        <w:rPr>
          <w:rFonts w:hint="eastAsia"/>
          <w:b/>
          <w:bCs/>
          <w:sz w:val="24"/>
        </w:rPr>
        <w:drawing>
          <wp:inline distT="0" distB="0" distL="114300" distR="114300">
            <wp:extent cx="3637280" cy="2212975"/>
            <wp:effectExtent l="0" t="0" r="1270" b="15875"/>
            <wp:docPr id="106" name="图片 17" descr="扫描文稿(1)(1)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7" descr="扫描文稿(1)(1)_页面_7"/>
                    <pic:cNvPicPr>
                      <a:picLocks noChangeAspect="1"/>
                    </pic:cNvPicPr>
                  </pic:nvPicPr>
                  <pic:blipFill>
                    <a:blip r:embed="rId35" cstate="print"/>
                    <a:srcRect l="3894" t="27798" r="1247" b="27678"/>
                    <a:stretch>
                      <a:fillRect/>
                    </a:stretch>
                  </pic:blipFill>
                  <pic:spPr>
                    <a:xfrm>
                      <a:off x="0" y="0"/>
                      <a:ext cx="3637280" cy="2212975"/>
                    </a:xfrm>
                    <a:prstGeom prst="rect">
                      <a:avLst/>
                    </a:prstGeom>
                    <a:noFill/>
                    <a:ln w="9525">
                      <a:noFill/>
                    </a:ln>
                  </pic:spPr>
                </pic:pic>
              </a:graphicData>
            </a:graphic>
          </wp:inline>
        </w:drawing>
      </w:r>
    </w:p>
    <w:p>
      <w:pPr>
        <w:adjustRightInd w:val="0"/>
        <w:snapToGrid w:val="0"/>
        <w:spacing w:afterLines="50"/>
        <w:jc w:val="center"/>
        <w:rPr>
          <w:b/>
          <w:bCs/>
          <w:sz w:val="24"/>
        </w:rPr>
      </w:pPr>
    </w:p>
    <w:p>
      <w:pPr>
        <w:adjustRightInd w:val="0"/>
        <w:snapToGrid w:val="0"/>
        <w:spacing w:afterLines="50"/>
        <w:jc w:val="center"/>
        <w:rPr>
          <w:b/>
          <w:bCs/>
          <w:sz w:val="24"/>
        </w:rPr>
      </w:pPr>
    </w:p>
    <w:p>
      <w:pPr>
        <w:adjustRightInd w:val="0"/>
        <w:snapToGrid w:val="0"/>
        <w:spacing w:afterLines="50"/>
        <w:jc w:val="center"/>
        <w:rPr>
          <w:b/>
          <w:bCs/>
          <w:sz w:val="24"/>
        </w:rPr>
        <w:sectPr>
          <w:pgSz w:w="11907" w:h="16840"/>
          <w:pgMar w:top="1134" w:right="1134" w:bottom="1134" w:left="1134" w:header="851" w:footer="992" w:gutter="0"/>
          <w:pgNumType w:fmt="decimal"/>
          <w:cols w:space="720" w:num="1"/>
          <w:docGrid w:type="linesAndChars" w:linePitch="312" w:charSpace="0"/>
        </w:sectPr>
      </w:pPr>
      <w:r>
        <w:rPr>
          <w:rFonts w:hint="eastAsia"/>
          <w:b/>
          <w:bCs/>
          <w:sz w:val="24"/>
        </w:rPr>
        <w:drawing>
          <wp:inline distT="0" distB="0" distL="114300" distR="114300">
            <wp:extent cx="3552190" cy="2323465"/>
            <wp:effectExtent l="0" t="0" r="13970" b="8255"/>
            <wp:docPr id="102" name="图片 18" descr="扫描文稿(1)(1)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8" descr="扫描文稿(1)(1)_页面_8"/>
                    <pic:cNvPicPr>
                      <a:picLocks noChangeAspect="1"/>
                    </pic:cNvPicPr>
                  </pic:nvPicPr>
                  <pic:blipFill>
                    <a:blip r:embed="rId36" cstate="print"/>
                    <a:srcRect l="6491" t="29059" r="7707" b="27719"/>
                    <a:stretch>
                      <a:fillRect/>
                    </a:stretch>
                  </pic:blipFill>
                  <pic:spPr>
                    <a:xfrm>
                      <a:off x="0" y="0"/>
                      <a:ext cx="3552190" cy="2323465"/>
                    </a:xfrm>
                    <a:prstGeom prst="rect">
                      <a:avLst/>
                    </a:prstGeom>
                    <a:noFill/>
                    <a:ln w="9525">
                      <a:noFill/>
                    </a:ln>
                  </pic:spPr>
                </pic:pic>
              </a:graphicData>
            </a:graphic>
          </wp:inline>
        </w:drawing>
      </w:r>
    </w:p>
    <w:p>
      <w:pPr>
        <w:adjustRightInd w:val="0"/>
        <w:snapToGrid w:val="0"/>
        <w:spacing w:afterLines="50"/>
        <w:jc w:val="left"/>
        <w:rPr>
          <w:b/>
          <w:bCs/>
          <w:sz w:val="24"/>
        </w:rPr>
      </w:pPr>
      <w:r>
        <w:rPr>
          <w:b/>
          <w:sz w:val="24"/>
        </w:rPr>
        <w:pict>
          <v:group id="_x0000_s1043" o:spid="_x0000_s1043" o:spt="203" style="position:absolute;left:0pt;margin-left:143.1pt;margin-top:-430.55pt;height:75.35pt;width:88.3pt;z-index:251730944;mso-width-relative:page;mso-height-relative:page;" coordorigin="3883,6714" coordsize="1766,1507203" o:gfxdata="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hQzBmNwAAAANAQAADwAAAAAAAAABACAAAAAiAAAAZHJzL2Rv&#10;d25yZXYueG1sUEsBAhQAFAAAAAgAh07iQNlxNWAaAwAA9QcAAA4AAAAAAAAAAQAgAAAAKwEAAGRy&#10;cy9lMm9Eb2MueG1sUEsFBgAAAAAGAAYAWQEAALcGAAAAAA==&#10;">
            <o:lock v:ext="edit"/>
            <v:shape id="_x0000_s1044" o:spid="_x0000_s1044" o:spt="120" type="#_x0000_t120" style="position:absolute;left:3883;top:7968;height:253;width:253;" fillcolor="#FFC000" filled="t" stroked="t" coordsize="21600,21600" o:gfxdata="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P9d77sAAADb&#10;AAAADwAAAAAAAAABACAAAAAiAAAAZHJzL2Rvd25yZXYueG1sUEsBAhQAFAAAAAgAh07iQDMvBZ47&#10;AAAAOQAAABAAAAAAAAAAAQAgAAAACgEAAGRycy9zaGFwZXhtbC54bWxQSwUGAAAAAAYABgBbAQAA&#10;tAMAAAAA&#10;">
              <v:path/>
              <v:fill on="t" focussize="0,0"/>
              <v:stroke weight="1.25pt" color="#00B050"/>
              <v:imagedata o:title=""/>
              <o:lock v:ext="edit"/>
            </v:shape>
            <v:shape id="_x0000_s1045" o:spid="_x0000_s1045" o:spt="62" type="#_x0000_t62" style="position:absolute;left:4136;top:6714;height:510;width:1513;" fillcolor="#FFFF00" filled="t" stroked="t" coordsize="21600,21600" o:gfxdata="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vTFlvQAA&#10;ANsAAAAPAAAAAAAAAAEAIAAAACIAAABkcnMvZG93bnJldi54bWxQSwECFAAUAAAACACHTuJAMy8F&#10;njsAAAA5AAAAEAAAAAAAAAABACAAAAAMAQAAZHJzL3NoYXBleG1sLnhtbFBLBQYAAAAABgAGAFsB&#10;AAC2AwAAAAA=&#10;" adj="-1085,55440,14400">
              <v:path/>
              <v:fill on="t" focussize="0,0"/>
              <v:stroke weight="1.25pt" color="#0D0D0D" joinstyle="miter"/>
              <v:imagedata o:title=""/>
              <o:lock v:ext="edit"/>
              <v:textbox>
                <w:txbxContent>
                  <w:p>
                    <w:r>
                      <w:rPr>
                        <w:rFonts w:hint="eastAsia"/>
                      </w:rPr>
                      <w:t>项目所在地</w:t>
                    </w:r>
                  </w:p>
                </w:txbxContent>
              </v:textbox>
            </v:shape>
          </v:group>
        </w:pict>
      </w:r>
      <w:r>
        <w:rPr>
          <w:rFonts w:hint="eastAsia"/>
          <w:b/>
          <w:bCs/>
          <w:sz w:val="24"/>
        </w:rPr>
        <w:t>附件3</w:t>
      </w:r>
      <w:r>
        <w:rPr>
          <w:b/>
          <w:bCs/>
          <w:sz w:val="24"/>
        </w:rPr>
        <w:t>租赁合同</w:t>
      </w:r>
    </w:p>
    <w:p>
      <w:pPr>
        <w:adjustRightInd w:val="0"/>
        <w:snapToGrid w:val="0"/>
        <w:spacing w:afterLines="50"/>
        <w:jc w:val="left"/>
        <w:rPr>
          <w:b/>
          <w:bCs/>
          <w:sz w:val="24"/>
        </w:rPr>
      </w:pPr>
      <w:r>
        <w:rPr>
          <w:rFonts w:hint="eastAsia"/>
          <w:b/>
          <w:bCs/>
          <w:sz w:val="24"/>
        </w:rPr>
        <w:drawing>
          <wp:inline distT="0" distB="0" distL="114300" distR="114300">
            <wp:extent cx="6062980" cy="8891905"/>
            <wp:effectExtent l="0" t="0" r="13970" b="4445"/>
            <wp:docPr id="107" name="图片 19" descr="扫描文稿(1)(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9" descr="扫描文稿(1)(1)_页面_1"/>
                    <pic:cNvPicPr>
                      <a:picLocks noChangeAspect="1"/>
                    </pic:cNvPicPr>
                  </pic:nvPicPr>
                  <pic:blipFill>
                    <a:blip r:embed="rId37" cstate="print"/>
                    <a:srcRect l="11993" t="6378" r="10437" b="5656"/>
                    <a:stretch>
                      <a:fillRect/>
                    </a:stretch>
                  </pic:blipFill>
                  <pic:spPr>
                    <a:xfrm>
                      <a:off x="0" y="0"/>
                      <a:ext cx="6062980" cy="8891905"/>
                    </a:xfrm>
                    <a:prstGeom prst="rect">
                      <a:avLst/>
                    </a:prstGeom>
                    <a:noFill/>
                    <a:ln w="9525">
                      <a:noFill/>
                    </a:ln>
                  </pic:spPr>
                </pic:pic>
              </a:graphicData>
            </a:graphic>
          </wp:inline>
        </w:drawing>
      </w:r>
      <w:r>
        <w:rPr>
          <w:rFonts w:hint="eastAsia"/>
          <w:b/>
          <w:bCs/>
          <w:sz w:val="24"/>
        </w:rPr>
        <w:drawing>
          <wp:inline distT="0" distB="0" distL="114300" distR="114300">
            <wp:extent cx="6157595" cy="8067040"/>
            <wp:effectExtent l="0" t="0" r="14605" b="10160"/>
            <wp:docPr id="103" name="图片 20" descr="扫描文稿(1)(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0" descr="扫描文稿(1)(1)_页面_2"/>
                    <pic:cNvPicPr>
                      <a:picLocks noChangeAspect="1"/>
                    </pic:cNvPicPr>
                  </pic:nvPicPr>
                  <pic:blipFill>
                    <a:blip r:embed="rId38" cstate="print"/>
                    <a:srcRect l="12149" t="8543" r="6937" b="9634"/>
                    <a:stretch>
                      <a:fillRect/>
                    </a:stretch>
                  </pic:blipFill>
                  <pic:spPr>
                    <a:xfrm>
                      <a:off x="0" y="0"/>
                      <a:ext cx="6157595" cy="8067040"/>
                    </a:xfrm>
                    <a:prstGeom prst="rect">
                      <a:avLst/>
                    </a:prstGeom>
                    <a:noFill/>
                    <a:ln w="9525">
                      <a:noFill/>
                    </a:ln>
                  </pic:spPr>
                </pic:pic>
              </a:graphicData>
            </a:graphic>
          </wp:inline>
        </w:drawing>
      </w:r>
    </w:p>
    <w:p>
      <w:pPr>
        <w:adjustRightInd w:val="0"/>
        <w:snapToGrid w:val="0"/>
        <w:spacing w:afterLines="50"/>
        <w:jc w:val="left"/>
        <w:rPr>
          <w:b/>
          <w:bCs/>
          <w:sz w:val="24"/>
        </w:rPr>
      </w:pPr>
    </w:p>
    <w:p>
      <w:pPr>
        <w:adjustRightInd w:val="0"/>
        <w:snapToGrid w:val="0"/>
        <w:spacing w:afterLines="50"/>
        <w:jc w:val="left"/>
        <w:rPr>
          <w:b/>
          <w:bCs/>
          <w:sz w:val="24"/>
        </w:rPr>
      </w:pPr>
    </w:p>
    <w:p>
      <w:pPr>
        <w:adjustRightInd w:val="0"/>
        <w:snapToGrid w:val="0"/>
        <w:spacing w:afterLines="50"/>
        <w:jc w:val="left"/>
        <w:rPr>
          <w:b/>
          <w:bCs/>
          <w:sz w:val="24"/>
        </w:rPr>
      </w:pPr>
    </w:p>
    <w:p>
      <w:pPr>
        <w:adjustRightInd w:val="0"/>
        <w:snapToGrid w:val="0"/>
        <w:spacing w:afterLines="50"/>
        <w:jc w:val="left"/>
        <w:rPr>
          <w:b/>
          <w:bCs/>
          <w:sz w:val="24"/>
        </w:rPr>
      </w:pPr>
    </w:p>
    <w:p>
      <w:pPr>
        <w:adjustRightInd w:val="0"/>
        <w:snapToGrid w:val="0"/>
        <w:spacing w:afterLines="50"/>
        <w:jc w:val="left"/>
        <w:rPr>
          <w:b/>
          <w:bCs/>
          <w:sz w:val="24"/>
        </w:rPr>
      </w:pPr>
    </w:p>
    <w:p>
      <w:pPr>
        <w:adjustRightInd w:val="0"/>
        <w:snapToGrid w:val="0"/>
        <w:spacing w:afterLines="50"/>
        <w:jc w:val="left"/>
        <w:rPr>
          <w:b/>
          <w:bCs/>
          <w:sz w:val="24"/>
        </w:rPr>
      </w:pPr>
      <w:r>
        <w:rPr>
          <w:rFonts w:hint="eastAsia"/>
          <w:b/>
          <w:bCs/>
          <w:sz w:val="24"/>
        </w:rPr>
        <w:drawing>
          <wp:inline distT="0" distB="0" distL="114300" distR="114300">
            <wp:extent cx="5891530" cy="8267700"/>
            <wp:effectExtent l="0" t="0" r="13970" b="0"/>
            <wp:docPr id="97" name="图片 21" descr="扫描文稿(1)(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descr="扫描文稿(1)(1)_页面_3"/>
                    <pic:cNvPicPr>
                      <a:picLocks noChangeAspect="1"/>
                    </pic:cNvPicPr>
                  </pic:nvPicPr>
                  <pic:blipFill>
                    <a:blip r:embed="rId39" cstate="print"/>
                    <a:srcRect l="13351" t="10109" r="12929" b="9868"/>
                    <a:stretch>
                      <a:fillRect/>
                    </a:stretch>
                  </pic:blipFill>
                  <pic:spPr>
                    <a:xfrm>
                      <a:off x="0" y="0"/>
                      <a:ext cx="5891530" cy="8267700"/>
                    </a:xfrm>
                    <a:prstGeom prst="rect">
                      <a:avLst/>
                    </a:prstGeom>
                    <a:noFill/>
                    <a:ln w="9525">
                      <a:noFill/>
                    </a:ln>
                  </pic:spPr>
                </pic:pic>
              </a:graphicData>
            </a:graphic>
          </wp:inline>
        </w:drawing>
      </w:r>
    </w:p>
    <w:p>
      <w:pPr>
        <w:adjustRightInd w:val="0"/>
        <w:snapToGrid w:val="0"/>
        <w:spacing w:afterLines="50"/>
        <w:jc w:val="left"/>
        <w:rPr>
          <w:b/>
          <w:bCs/>
          <w:sz w:val="24"/>
        </w:rPr>
      </w:pPr>
    </w:p>
    <w:p>
      <w:pPr>
        <w:adjustRightInd w:val="0"/>
        <w:snapToGrid w:val="0"/>
        <w:spacing w:afterLines="50"/>
        <w:jc w:val="left"/>
        <w:rPr>
          <w:b/>
          <w:bCs/>
          <w:sz w:val="24"/>
        </w:rPr>
      </w:pPr>
    </w:p>
    <w:p>
      <w:pPr>
        <w:adjustRightInd w:val="0"/>
        <w:snapToGrid w:val="0"/>
        <w:spacing w:afterLines="50"/>
        <w:jc w:val="left"/>
        <w:rPr>
          <w:b/>
          <w:bCs/>
          <w:sz w:val="24"/>
        </w:rPr>
      </w:pPr>
    </w:p>
    <w:p>
      <w:pPr>
        <w:adjustRightInd w:val="0"/>
        <w:snapToGrid w:val="0"/>
        <w:spacing w:afterLines="50"/>
        <w:jc w:val="left"/>
        <w:rPr>
          <w:b/>
          <w:bCs/>
          <w:sz w:val="24"/>
        </w:rPr>
      </w:pPr>
    </w:p>
    <w:p>
      <w:pPr>
        <w:adjustRightInd w:val="0"/>
        <w:snapToGrid w:val="0"/>
        <w:spacing w:afterLines="50"/>
        <w:jc w:val="left"/>
        <w:rPr>
          <w:b/>
          <w:bCs/>
          <w:sz w:val="24"/>
        </w:rPr>
        <w:sectPr>
          <w:pgSz w:w="11907" w:h="16840"/>
          <w:pgMar w:top="1134" w:right="1134" w:bottom="1134" w:left="1134" w:header="851" w:footer="992" w:gutter="0"/>
          <w:pgNumType w:fmt="decimal"/>
          <w:cols w:space="720" w:num="1"/>
          <w:docGrid w:type="linesAndChars" w:linePitch="312" w:charSpace="0"/>
        </w:sectPr>
      </w:pPr>
      <w:r>
        <w:rPr>
          <w:rFonts w:hint="eastAsia"/>
          <w:b/>
          <w:bCs/>
          <w:sz w:val="24"/>
        </w:rPr>
        <w:drawing>
          <wp:inline distT="0" distB="0" distL="114300" distR="114300">
            <wp:extent cx="6080125" cy="8559800"/>
            <wp:effectExtent l="0" t="0" r="15875" b="12700"/>
            <wp:docPr id="104" name="图片 22" descr="扫描文稿(1)(1)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2" descr="扫描文稿(1)(1)_页面_4"/>
                    <pic:cNvPicPr>
                      <a:picLocks noChangeAspect="1"/>
                    </pic:cNvPicPr>
                  </pic:nvPicPr>
                  <pic:blipFill>
                    <a:blip r:embed="rId40" cstate="print"/>
                    <a:srcRect l="8879" t="7462" r="10593" b="4933"/>
                    <a:stretch>
                      <a:fillRect/>
                    </a:stretch>
                  </pic:blipFill>
                  <pic:spPr>
                    <a:xfrm>
                      <a:off x="0" y="0"/>
                      <a:ext cx="6080125" cy="8559800"/>
                    </a:xfrm>
                    <a:prstGeom prst="rect">
                      <a:avLst/>
                    </a:prstGeom>
                    <a:noFill/>
                    <a:ln w="9525">
                      <a:noFill/>
                    </a:ln>
                  </pic:spPr>
                </pic:pic>
              </a:graphicData>
            </a:graphic>
          </wp:inline>
        </w:drawing>
      </w:r>
      <w:r>
        <w:rPr>
          <w:rFonts w:hint="eastAsia"/>
          <w:b/>
          <w:bCs/>
          <w:sz w:val="24"/>
        </w:rPr>
        <w:drawing>
          <wp:inline distT="0" distB="0" distL="114300" distR="114300">
            <wp:extent cx="6078220" cy="8660130"/>
            <wp:effectExtent l="0" t="0" r="17780" b="7620"/>
            <wp:docPr id="105" name="图片 23" descr="扫描文稿(1)(1)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3" descr="扫描文稿(1)(1)_页面_5"/>
                    <pic:cNvPicPr>
                      <a:picLocks noChangeAspect="1"/>
                    </pic:cNvPicPr>
                  </pic:nvPicPr>
                  <pic:blipFill>
                    <a:blip r:embed="rId41" cstate="print"/>
                    <a:srcRect l="10748" t="6378" r="9949" b="6378"/>
                    <a:stretch>
                      <a:fillRect/>
                    </a:stretch>
                  </pic:blipFill>
                  <pic:spPr>
                    <a:xfrm>
                      <a:off x="0" y="0"/>
                      <a:ext cx="6078220" cy="8660130"/>
                    </a:xfrm>
                    <a:prstGeom prst="rect">
                      <a:avLst/>
                    </a:prstGeom>
                    <a:noFill/>
                    <a:ln w="9525">
                      <a:noFill/>
                    </a:ln>
                  </pic:spPr>
                </pic:pic>
              </a:graphicData>
            </a:graphic>
          </wp:inline>
        </w:drawing>
      </w:r>
    </w:p>
    <w:p>
      <w:pPr>
        <w:adjustRightInd w:val="0"/>
        <w:snapToGrid w:val="0"/>
        <w:spacing w:afterLines="50"/>
        <w:jc w:val="left"/>
        <w:rPr>
          <w:b/>
          <w:bCs/>
          <w:sz w:val="24"/>
        </w:rPr>
      </w:pPr>
      <w:r>
        <w:rPr>
          <w:b/>
          <w:sz w:val="24"/>
        </w:rPr>
        <w:pict>
          <v:group id="_x0000_s1046" o:spid="_x0000_s1046" o:spt="203" style="position:absolute;left:0pt;margin-left:143.1pt;margin-top:-430.55pt;height:75.35pt;width:88.3pt;z-index:251732992;mso-width-relative:page;mso-height-relative:page;" coordorigin="3883,6714" coordsize="1766,1507203" o:gfxdata="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">
            <o:lock v:ext="edit"/>
            <v:shape id="_x0000_s1047" o:spid="_x0000_s1047" o:spt="120" type="#_x0000_t120" style="position:absolute;left:3883;top:7968;height:253;width:253;" fillcolor="#FFC000" filled="t" stroked="t" coordsize="21600,21600" o:gfxdata="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shF9G8AAAA&#10;2wAAAA8AAAAAAAAAAQAgAAAAIgAAAGRycy9kb3ducmV2LnhtbFBLAQIUABQAAAAIAIdO4kAzLwWe&#10;OwAAADkAAAAQAAAAAAAAAAEAIAAAAAsBAABkcnMvc2hhcGV4bWwueG1sUEsFBgAAAAAGAAYAWwEA&#10;ALUDAAAAAA==&#10;">
              <v:path/>
              <v:fill on="t" focussize="0,0"/>
              <v:stroke weight="1.25pt" color="#00B050"/>
              <v:imagedata o:title=""/>
              <o:lock v:ext="edit"/>
            </v:shape>
            <v:shape id="_x0000_s1048" o:spid="_x0000_s1048" o:spt="62" type="#_x0000_t62" style="position:absolute;left:4136;top:6714;height:510;width:1513;" fillcolor="#FFFF00" filled="t" stroked="t" coordsize="21600,21600" o:gfxdata="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HM4YC8AAAA&#10;2wAAAA8AAAAAAAAAAQAgAAAAIgAAAGRycy9kb3ducmV2LnhtbFBLAQIUABQAAAAIAIdO4kAzLwWe&#10;OwAAADkAAAAQAAAAAAAAAAEAIAAAAAsBAABkcnMvc2hhcGV4bWwueG1sUEsFBgAAAAAGAAYAWwEA&#10;ALUDAAAAAA==&#10;" adj="-1085,55440,14400">
              <v:path/>
              <v:fill on="t" focussize="0,0"/>
              <v:stroke weight="1.25pt" color="#0D0D0D" joinstyle="miter"/>
              <v:imagedata o:title=""/>
              <o:lock v:ext="edit"/>
              <v:textbox>
                <w:txbxContent>
                  <w:p>
                    <w:r>
                      <w:rPr>
                        <w:rFonts w:hint="eastAsia"/>
                      </w:rPr>
                      <w:t>项目所在地</w:t>
                    </w:r>
                  </w:p>
                </w:txbxContent>
              </v:textbox>
            </v:shape>
          </v:group>
        </w:pict>
      </w:r>
      <w:r>
        <w:rPr>
          <w:rFonts w:hint="eastAsia"/>
          <w:b/>
          <w:bCs/>
          <w:sz w:val="24"/>
        </w:rPr>
        <w:t>附件4 住所（经营场所）场地使用证明</w:t>
      </w:r>
    </w:p>
    <w:p>
      <w:pPr>
        <w:adjustRightInd w:val="0"/>
        <w:snapToGrid w:val="0"/>
        <w:spacing w:afterLines="50"/>
        <w:jc w:val="left"/>
        <w:rPr>
          <w:b/>
          <w:sz w:val="24"/>
        </w:rPr>
        <w:sectPr>
          <w:pgSz w:w="11907" w:h="16840"/>
          <w:pgMar w:top="1134" w:right="1134" w:bottom="1134" w:left="1134" w:header="851" w:footer="992" w:gutter="0"/>
          <w:pgNumType w:fmt="decimal"/>
          <w:cols w:space="720" w:num="1"/>
          <w:docGrid w:type="linesAndChars" w:linePitch="312" w:charSpace="0"/>
        </w:sectPr>
      </w:pPr>
      <w:r>
        <w:rPr>
          <w:rFonts w:hint="eastAsia"/>
          <w:b/>
          <w:bCs/>
          <w:sz w:val="24"/>
        </w:rPr>
        <w:drawing>
          <wp:inline distT="0" distB="0" distL="114300" distR="114300">
            <wp:extent cx="6025515" cy="8589645"/>
            <wp:effectExtent l="0" t="0" r="13335" b="1905"/>
            <wp:docPr id="96" name="图片 24" descr="扫描文稿(1)(1)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4" descr="扫描文稿(1)(1)_页面_6"/>
                    <pic:cNvPicPr>
                      <a:picLocks noChangeAspect="1"/>
                    </pic:cNvPicPr>
                  </pic:nvPicPr>
                  <pic:blipFill>
                    <a:blip r:embed="rId42" cstate="print"/>
                    <a:srcRect l="11526" t="7462" r="10280" b="6378"/>
                    <a:stretch>
                      <a:fillRect/>
                    </a:stretch>
                  </pic:blipFill>
                  <pic:spPr>
                    <a:xfrm>
                      <a:off x="0" y="0"/>
                      <a:ext cx="6025515" cy="8589645"/>
                    </a:xfrm>
                    <a:prstGeom prst="rect">
                      <a:avLst/>
                    </a:prstGeom>
                    <a:noFill/>
                    <a:ln w="9525">
                      <a:noFill/>
                    </a:ln>
                  </pic:spPr>
                </pic:pic>
              </a:graphicData>
            </a:graphic>
          </wp:inline>
        </w:drawing>
      </w:r>
    </w:p>
    <w:p>
      <w:pPr>
        <w:adjustRightInd w:val="0"/>
        <w:snapToGrid w:val="0"/>
        <w:spacing w:afterLines="50"/>
        <w:jc w:val="left"/>
        <w:rPr>
          <w:b/>
          <w:bCs/>
          <w:sz w:val="24"/>
        </w:rPr>
      </w:pPr>
      <w:r>
        <w:rPr>
          <w:b/>
          <w:sz w:val="24"/>
        </w:rPr>
        <w:pict>
          <v:group id="_x0000_s1049" o:spid="_x0000_s1049" o:spt="203" style="position:absolute;left:0pt;margin-left:143.1pt;margin-top:-430.55pt;height:75.35pt;width:88.3pt;z-index:251717632;mso-width-relative:page;mso-height-relative:page;" coordorigin="3883,6714" coordsize="1766,1507203" o:gfxdata="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CFDMGY3AAAAA0BAAAPAAAAAAAAAAEAIAAAACIAAABkcnMv&#10;ZG93bnJldi54bWxQSwECFAAUAAAACACHTuJAoxqbvRwDAAD1BwAADgAAAAAAAAABACAAAAArAQAA&#10;ZHJzL2Uyb0RvYy54bWxQSwUGAAAAAAYABgBZAQAAuQYAAAAA&#10;">
            <o:lock v:ext="edit"/>
            <v:shape id="_x0000_s1050" o:spid="_x0000_s1050" o:spt="120" type="#_x0000_t120" style="position:absolute;left:3883;top:7968;height:253;width:253;" fillcolor="#FFC000" filled="t" stroked="t" coordsize="21600,21600" o:gfxdata="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h3NMbgAAADbAAAA&#10;DwAAAAAAAAABACAAAAAiAAAAZHJzL2Rvd25yZXYueG1sUEsBAhQAFAAAAAgAh07iQDMvBZ47AAAA&#10;OQAAABAAAAAAAAAAAQAgAAAABwEAAGRycy9zaGFwZXhtbC54bWxQSwUGAAAAAAYABgBbAQAAsQMA&#10;AAAA&#10;">
              <v:path/>
              <v:fill on="t" focussize="0,0"/>
              <v:stroke weight="1.25pt" color="#00B050"/>
              <v:imagedata o:title=""/>
              <o:lock v:ext="edit"/>
            </v:shape>
            <v:shape id="_x0000_s1051" o:spid="_x0000_s1051" o:spt="62" type="#_x0000_t62" style="position:absolute;left:4136;top:6714;height:510;width:1513;" fillcolor="#FFFF00" filled="t" stroked="t" coordsize="21600,21600" o:gfxdata="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X6G7vQAA&#10;ANsAAAAPAAAAAAAAAAEAIAAAACIAAABkcnMvZG93bnJldi54bWxQSwECFAAUAAAACACHTuJAMy8F&#10;njsAAAA5AAAAEAAAAAAAAAABACAAAAAMAQAAZHJzL3NoYXBleG1sLnhtbFBLBQYAAAAABgAGAFsB&#10;AAC2AwAAAAA=&#10;" adj="-1085,55440,14400">
              <v:path/>
              <v:fill on="t" focussize="0,0"/>
              <v:stroke weight="1.25pt" color="#0D0D0D" joinstyle="miter"/>
              <v:imagedata o:title=""/>
              <o:lock v:ext="edit"/>
              <v:textbox>
                <w:txbxContent>
                  <w:p>
                    <w:r>
                      <w:rPr>
                        <w:rFonts w:hint="eastAsia"/>
                      </w:rPr>
                      <w:t>项目所在地</w:t>
                    </w:r>
                  </w:p>
                </w:txbxContent>
              </v:textbox>
            </v:shape>
          </v:group>
        </w:pict>
      </w:r>
      <w:r>
        <w:rPr>
          <w:rFonts w:hint="eastAsia"/>
          <w:b/>
          <w:bCs/>
          <w:sz w:val="24"/>
        </w:rPr>
        <w:t>附件5 项目粉末涂料MSDS</w:t>
      </w:r>
    </w:p>
    <w:p>
      <w:r>
        <w:rPr>
          <w:rFonts w:hint="eastAsia"/>
          <w:b/>
          <w:bCs/>
          <w:sz w:val="24"/>
        </w:rPr>
        <w:drawing>
          <wp:inline distT="0" distB="0" distL="114300" distR="114300">
            <wp:extent cx="5111750" cy="6947535"/>
            <wp:effectExtent l="0" t="0" r="12700" b="5715"/>
            <wp:docPr id="108" name="图片 2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5" descr="untitled"/>
                    <pic:cNvPicPr>
                      <a:picLocks noChangeAspect="1"/>
                    </pic:cNvPicPr>
                  </pic:nvPicPr>
                  <pic:blipFill>
                    <a:blip r:embed="rId43" cstate="print"/>
                    <a:stretch>
                      <a:fillRect/>
                    </a:stretch>
                  </pic:blipFill>
                  <pic:spPr>
                    <a:xfrm>
                      <a:off x="0" y="0"/>
                      <a:ext cx="5111750" cy="6947535"/>
                    </a:xfrm>
                    <a:prstGeom prst="rect">
                      <a:avLst/>
                    </a:prstGeom>
                    <a:noFill/>
                    <a:ln w="9525">
                      <a:noFill/>
                    </a:ln>
                  </pic:spPr>
                </pic:pic>
              </a:graphicData>
            </a:graphic>
          </wp:inline>
        </w:drawing>
      </w: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Impact">
    <w:panose1 w:val="020B0806030902050204"/>
    <w:charset w:val="00"/>
    <w:family w:val="swiss"/>
    <w:pitch w:val="default"/>
    <w:sig w:usb0="00000287" w:usb1="00000000" w:usb2="00000000" w:usb3="00000000" w:csb0="2000009F" w:csb1="DFD70000"/>
  </w:font>
  <w:font w:name="Wingdings 2">
    <w:panose1 w:val="05020102010507070707"/>
    <w:charset w:val="02"/>
    <w:family w:val="roman"/>
    <w:pitch w:val="default"/>
    <w:sig w:usb0="00000000" w:usb1="00000000" w:usb2="00000000" w:usb3="00000000" w:csb0="80000000" w:csb1="00000000"/>
  </w:font>
  <w:font w:name="MS Mincho">
    <w:panose1 w:val="02020609040205080304"/>
    <w:charset w:val="80"/>
    <w:family w:val="modern"/>
    <w:pitch w:val="default"/>
    <w:sig w:usb0="A00002BF" w:usb1="68C7FCFB" w:usb2="00000010" w:usb3="00000000" w:csb0="4002009F" w:csb1="DFD7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center" w:y="1"/>
      <w:rPr>
        <w:rStyle w:val="18"/>
      </w:rPr>
    </w:pPr>
    <w:r>
      <w:fldChar w:fldCharType="begin"/>
    </w:r>
    <w:r>
      <w:rPr>
        <w:rStyle w:val="18"/>
      </w:rPr>
      <w:instrText xml:space="preserve">PAGE  </w:instrText>
    </w:r>
    <w:r>
      <w:fldChar w:fldCharType="end"/>
    </w:r>
  </w:p>
  <w:p>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tabs>
        <w:tab w:val="left" w:pos="1038"/>
        <w:tab w:val="clear" w:pos="4153"/>
        <w:tab w:val="clear" w:pos="8306"/>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tabs>
        <w:tab w:val="left" w:pos="1038"/>
        <w:tab w:val="clear" w:pos="4153"/>
        <w:tab w:val="clear" w:pos="8306"/>
      </w:tabs>
    </w:pPr>
    <w:r>
      <w:rPr>
        <w:sz w:val="18"/>
      </w:rPr>
      <w:pict>
        <v:shape id="_x0000_s2049" o:spid="_x0000_s2049"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v:imagedata o:title=""/>
          <o:lock v:ext="edit" aspectratio="f"/>
          <v:textbox inset="0mm,0mm,0mm,0mm" style="mso-fit-shape-to-text:t;">
            <w:txbxContent>
              <w:p>
                <w:pPr>
                  <w:pStyle w:val="11"/>
                  <w:rPr>
                    <w:lang w:val="en-US"/>
                  </w:rPr>
                </w:pPr>
                <w:r>
                  <w:rPr>
                    <w:lang w:val="en-US"/>
                  </w:rPr>
                  <w:fldChar w:fldCharType="begin"/>
                </w:r>
                <w:r>
                  <w:rPr>
                    <w:lang w:val="en-US"/>
                  </w:rPr>
                  <w:instrText xml:space="preserve"> PAGE  \* MERGEFORMAT </w:instrText>
                </w:r>
                <w:r>
                  <w:rPr>
                    <w:lang w:val="en-US"/>
                  </w:rPr>
                  <w:fldChar w:fldCharType="separate"/>
                </w:r>
                <w:r>
                  <w:rPr>
                    <w:lang w:val="en-US"/>
                  </w:rPr>
                  <w:t>1</w:t>
                </w:r>
                <w:r>
                  <w:rPr>
                    <w:lang w:val="en-US"/>
                  </w:rPr>
                  <w:fldChar w:fldCharType="end"/>
                </w:r>
              </w:p>
            </w:txbxContent>
          </v:textbox>
        </v:shape>
      </w:pict>
    </w:r>
    <w: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737002C"/>
    <w:multiLevelType w:val="singleLevel"/>
    <w:tmpl w:val="A737002C"/>
    <w:lvl w:ilvl="0" w:tentative="0">
      <w:start w:val="2"/>
      <w:numFmt w:val="decimal"/>
      <w:suff w:val="nothing"/>
      <w:lvlText w:val="%1）"/>
      <w:lvlJc w:val="left"/>
    </w:lvl>
  </w:abstractNum>
  <w:abstractNum w:abstractNumId="1">
    <w:nsid w:val="054726F7"/>
    <w:multiLevelType w:val="multilevel"/>
    <w:tmpl w:val="054726F7"/>
    <w:lvl w:ilvl="0" w:tentative="0">
      <w:start w:val="1"/>
      <w:numFmt w:val="japaneseCounting"/>
      <w:lvlText w:val="%1、"/>
      <w:lvlJc w:val="left"/>
      <w:pPr>
        <w:ind w:left="992" w:hanging="510"/>
      </w:pPr>
      <w:rPr>
        <w:rFonts w:hint="default" w:hAnsi="Times New Roman" w:cs="Times New Roman"/>
      </w:rPr>
    </w:lvl>
    <w:lvl w:ilvl="1" w:tentative="0">
      <w:start w:val="1"/>
      <w:numFmt w:val="lowerLetter"/>
      <w:lvlText w:val="%2)"/>
      <w:lvlJc w:val="left"/>
      <w:pPr>
        <w:ind w:left="1322" w:hanging="420"/>
      </w:pPr>
      <w:rPr>
        <w:rFonts w:cs="Times New Roman"/>
      </w:rPr>
    </w:lvl>
    <w:lvl w:ilvl="2" w:tentative="0">
      <w:start w:val="1"/>
      <w:numFmt w:val="lowerRoman"/>
      <w:lvlText w:val="%3."/>
      <w:lvlJc w:val="right"/>
      <w:pPr>
        <w:ind w:left="1742" w:hanging="420"/>
      </w:pPr>
      <w:rPr>
        <w:rFonts w:cs="Times New Roman"/>
      </w:rPr>
    </w:lvl>
    <w:lvl w:ilvl="3" w:tentative="0">
      <w:start w:val="1"/>
      <w:numFmt w:val="decimal"/>
      <w:lvlText w:val="%4."/>
      <w:lvlJc w:val="left"/>
      <w:pPr>
        <w:ind w:left="2162" w:hanging="420"/>
      </w:pPr>
      <w:rPr>
        <w:rFonts w:cs="Times New Roman"/>
      </w:rPr>
    </w:lvl>
    <w:lvl w:ilvl="4" w:tentative="0">
      <w:start w:val="1"/>
      <w:numFmt w:val="lowerLetter"/>
      <w:lvlText w:val="%5)"/>
      <w:lvlJc w:val="left"/>
      <w:pPr>
        <w:ind w:left="2582" w:hanging="420"/>
      </w:pPr>
      <w:rPr>
        <w:rFonts w:cs="Times New Roman"/>
      </w:rPr>
    </w:lvl>
    <w:lvl w:ilvl="5" w:tentative="0">
      <w:start w:val="1"/>
      <w:numFmt w:val="lowerRoman"/>
      <w:lvlText w:val="%6."/>
      <w:lvlJc w:val="right"/>
      <w:pPr>
        <w:ind w:left="3002" w:hanging="420"/>
      </w:pPr>
      <w:rPr>
        <w:rFonts w:cs="Times New Roman"/>
      </w:rPr>
    </w:lvl>
    <w:lvl w:ilvl="6" w:tentative="0">
      <w:start w:val="1"/>
      <w:numFmt w:val="decimal"/>
      <w:lvlText w:val="%7."/>
      <w:lvlJc w:val="left"/>
      <w:pPr>
        <w:ind w:left="3422" w:hanging="420"/>
      </w:pPr>
      <w:rPr>
        <w:rFonts w:cs="Times New Roman"/>
      </w:rPr>
    </w:lvl>
    <w:lvl w:ilvl="7" w:tentative="0">
      <w:start w:val="1"/>
      <w:numFmt w:val="lowerLetter"/>
      <w:lvlText w:val="%8)"/>
      <w:lvlJc w:val="left"/>
      <w:pPr>
        <w:ind w:left="3842" w:hanging="420"/>
      </w:pPr>
      <w:rPr>
        <w:rFonts w:cs="Times New Roman"/>
      </w:rPr>
    </w:lvl>
    <w:lvl w:ilvl="8" w:tentative="0">
      <w:start w:val="1"/>
      <w:numFmt w:val="lowerRoman"/>
      <w:lvlText w:val="%9."/>
      <w:lvlJc w:val="right"/>
      <w:pPr>
        <w:ind w:left="4262" w:hanging="420"/>
      </w:pPr>
      <w:rPr>
        <w:rFonts w:cs="Times New Roman"/>
      </w:rPr>
    </w:lvl>
  </w:abstractNum>
  <w:abstractNum w:abstractNumId="2">
    <w:nsid w:val="349E3E36"/>
    <w:multiLevelType w:val="multilevel"/>
    <w:tmpl w:val="349E3E36"/>
    <w:lvl w:ilvl="0" w:tentative="0">
      <w:start w:val="1"/>
      <w:numFmt w:val="decimalEnclosedCircle"/>
      <w:lvlText w:val="%1"/>
      <w:lvlJc w:val="left"/>
      <w:pPr>
        <w:ind w:left="840" w:hanging="360"/>
      </w:pPr>
      <w:rPr>
        <w:rFonts w:hint="default" w:ascii="宋体" w:hAnsi="宋体" w:eastAsia="宋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55CD52B4"/>
    <w:multiLevelType w:val="singleLevel"/>
    <w:tmpl w:val="55CD52B4"/>
    <w:lvl w:ilvl="0" w:tentative="0">
      <w:start w:val="1"/>
      <w:numFmt w:val="chineseCounting"/>
      <w:suff w:val="nothing"/>
      <w:lvlText w:val="%1、"/>
      <w:lvlJc w:val="left"/>
      <w:rPr>
        <w:rFonts w:cs="Times New Roman"/>
      </w:rPr>
    </w:lvl>
  </w:abstractNum>
  <w:abstractNum w:abstractNumId="4">
    <w:nsid w:val="55CD5B7F"/>
    <w:multiLevelType w:val="singleLevel"/>
    <w:tmpl w:val="55CD5B7F"/>
    <w:lvl w:ilvl="0" w:tentative="0">
      <w:start w:val="2"/>
      <w:numFmt w:val="decimal"/>
      <w:suff w:val="nothing"/>
      <w:lvlText w:val="%1、"/>
      <w:lvlJc w:val="left"/>
      <w:rPr>
        <w:rFonts w:cs="Times New Roman"/>
      </w:rPr>
    </w:lvl>
  </w:abstractNum>
  <w:abstractNum w:abstractNumId="5">
    <w:nsid w:val="56EA1A1F"/>
    <w:multiLevelType w:val="singleLevel"/>
    <w:tmpl w:val="56EA1A1F"/>
    <w:lvl w:ilvl="0" w:tentative="0">
      <w:start w:val="1"/>
      <w:numFmt w:val="chineseCounting"/>
      <w:suff w:val="nothing"/>
      <w:lvlText w:val="%1、"/>
      <w:lvlJc w:val="left"/>
      <w:rPr>
        <w:rFonts w:cs="Times New Roman"/>
      </w:rPr>
    </w:lvl>
  </w:abstractNum>
  <w:abstractNum w:abstractNumId="6">
    <w:nsid w:val="56F36C3E"/>
    <w:multiLevelType w:val="singleLevel"/>
    <w:tmpl w:val="56F36C3E"/>
    <w:lvl w:ilvl="0" w:tentative="0">
      <w:start w:val="1"/>
      <w:numFmt w:val="chineseCounting"/>
      <w:suff w:val="nothing"/>
      <w:lvlText w:val="%1、"/>
      <w:lvlJc w:val="left"/>
      <w:rPr>
        <w:rFonts w:cs="Times New Roman"/>
      </w:rPr>
    </w:lvl>
  </w:abstractNum>
  <w:abstractNum w:abstractNumId="7">
    <w:nsid w:val="56F36C4A"/>
    <w:multiLevelType w:val="singleLevel"/>
    <w:tmpl w:val="56F36C4A"/>
    <w:lvl w:ilvl="0" w:tentative="0">
      <w:start w:val="2"/>
      <w:numFmt w:val="chineseCounting"/>
      <w:suff w:val="nothing"/>
      <w:lvlText w:val="%1、"/>
      <w:lvlJc w:val="left"/>
      <w:rPr>
        <w:rFonts w:cs="Times New Roman"/>
      </w:rPr>
    </w:lvl>
  </w:abstractNum>
  <w:abstractNum w:abstractNumId="8">
    <w:nsid w:val="56F36C56"/>
    <w:multiLevelType w:val="singleLevel"/>
    <w:tmpl w:val="56F36C56"/>
    <w:lvl w:ilvl="0" w:tentative="0">
      <w:start w:val="3"/>
      <w:numFmt w:val="chineseCounting"/>
      <w:suff w:val="nothing"/>
      <w:lvlText w:val="%1、"/>
      <w:lvlJc w:val="left"/>
      <w:rPr>
        <w:rFonts w:cs="Times New Roman"/>
      </w:rPr>
    </w:lvl>
  </w:abstractNum>
  <w:abstractNum w:abstractNumId="9">
    <w:nsid w:val="56F36C62"/>
    <w:multiLevelType w:val="singleLevel"/>
    <w:tmpl w:val="56F36C62"/>
    <w:lvl w:ilvl="0" w:tentative="0">
      <w:start w:val="4"/>
      <w:numFmt w:val="chineseCounting"/>
      <w:suff w:val="nothing"/>
      <w:lvlText w:val="%1、"/>
      <w:lvlJc w:val="left"/>
      <w:rPr>
        <w:rFonts w:cs="Times New Roman"/>
      </w:rPr>
    </w:lvl>
  </w:abstractNum>
  <w:abstractNum w:abstractNumId="10">
    <w:nsid w:val="56F37CE4"/>
    <w:multiLevelType w:val="singleLevel"/>
    <w:tmpl w:val="56F37CE4"/>
    <w:lvl w:ilvl="0" w:tentative="0">
      <w:start w:val="1"/>
      <w:numFmt w:val="decimal"/>
      <w:suff w:val="nothing"/>
      <w:lvlText w:val="%1、"/>
      <w:lvlJc w:val="left"/>
      <w:rPr>
        <w:rFonts w:cs="Times New Roman"/>
      </w:rPr>
    </w:lvl>
  </w:abstractNum>
  <w:abstractNum w:abstractNumId="11">
    <w:nsid w:val="578116DF"/>
    <w:multiLevelType w:val="singleLevel"/>
    <w:tmpl w:val="578116DF"/>
    <w:lvl w:ilvl="0" w:tentative="0">
      <w:start w:val="1"/>
      <w:numFmt w:val="decimal"/>
      <w:suff w:val="nothing"/>
      <w:lvlText w:val="%1、"/>
      <w:lvlJc w:val="left"/>
    </w:lvl>
  </w:abstractNum>
  <w:abstractNum w:abstractNumId="12">
    <w:nsid w:val="5781283E"/>
    <w:multiLevelType w:val="singleLevel"/>
    <w:tmpl w:val="5781283E"/>
    <w:lvl w:ilvl="0" w:tentative="0">
      <w:start w:val="1"/>
      <w:numFmt w:val="chineseCounting"/>
      <w:suff w:val="nothing"/>
      <w:lvlText w:val="%1、"/>
      <w:lvlJc w:val="left"/>
    </w:lvl>
  </w:abstractNum>
  <w:abstractNum w:abstractNumId="13">
    <w:nsid w:val="58526AAA"/>
    <w:multiLevelType w:val="singleLevel"/>
    <w:tmpl w:val="58526AAA"/>
    <w:lvl w:ilvl="0" w:tentative="0">
      <w:start w:val="1"/>
      <w:numFmt w:val="decimal"/>
      <w:lvlText w:val="%1."/>
      <w:lvlJc w:val="left"/>
      <w:pPr>
        <w:ind w:left="993" w:hanging="425"/>
      </w:pPr>
      <w:rPr>
        <w:rFonts w:hint="default"/>
      </w:rPr>
    </w:lvl>
  </w:abstractNum>
  <w:abstractNum w:abstractNumId="14">
    <w:nsid w:val="5A094EB3"/>
    <w:multiLevelType w:val="singleLevel"/>
    <w:tmpl w:val="5A094EB3"/>
    <w:lvl w:ilvl="0" w:tentative="0">
      <w:start w:val="1"/>
      <w:numFmt w:val="decimal"/>
      <w:suff w:val="nothing"/>
      <w:lvlText w:val="（%1）"/>
      <w:lvlJc w:val="left"/>
    </w:lvl>
  </w:abstractNum>
  <w:num w:numId="1">
    <w:abstractNumId w:val="5"/>
  </w:num>
  <w:num w:numId="2">
    <w:abstractNumId w:val="11"/>
  </w:num>
  <w:num w:numId="3">
    <w:abstractNumId w:val="13"/>
  </w:num>
  <w:num w:numId="4">
    <w:abstractNumId w:val="1"/>
  </w:num>
  <w:num w:numId="5">
    <w:abstractNumId w:val="12"/>
  </w:num>
  <w:num w:numId="6">
    <w:abstractNumId w:val="14"/>
  </w:num>
  <w:num w:numId="7">
    <w:abstractNumId w:val="4"/>
  </w:num>
  <w:num w:numId="8">
    <w:abstractNumId w:val="2"/>
  </w:num>
  <w:num w:numId="9">
    <w:abstractNumId w:val="3"/>
  </w:num>
  <w:num w:numId="10">
    <w:abstractNumId w:val="0"/>
  </w:num>
  <w:num w:numId="11">
    <w:abstractNumId w:val="6"/>
  </w:num>
  <w:num w:numId="12">
    <w:abstractNumId w:val="7"/>
  </w:num>
  <w:num w:numId="13">
    <w:abstractNumId w:val="8"/>
  </w:num>
  <w:num w:numId="14">
    <w:abstractNumId w:val="9"/>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153050"/>
    <w:rsid w:val="00350879"/>
    <w:rsid w:val="0041421F"/>
    <w:rsid w:val="0048798A"/>
    <w:rsid w:val="004C1A7B"/>
    <w:rsid w:val="00580F7E"/>
    <w:rsid w:val="005A38BA"/>
    <w:rsid w:val="007C3BFE"/>
    <w:rsid w:val="008D3A37"/>
    <w:rsid w:val="00AD21FE"/>
    <w:rsid w:val="00B14A32"/>
    <w:rsid w:val="00BD747C"/>
    <w:rsid w:val="00BF05FC"/>
    <w:rsid w:val="00C62A3D"/>
    <w:rsid w:val="00D35E8A"/>
    <w:rsid w:val="00F95CAE"/>
    <w:rsid w:val="041F3E8C"/>
    <w:rsid w:val="05A52F77"/>
    <w:rsid w:val="05DC2AB8"/>
    <w:rsid w:val="08A67B63"/>
    <w:rsid w:val="09F73E76"/>
    <w:rsid w:val="0A1F70BC"/>
    <w:rsid w:val="0A913F80"/>
    <w:rsid w:val="0BE3560B"/>
    <w:rsid w:val="0D55087F"/>
    <w:rsid w:val="0D782F8B"/>
    <w:rsid w:val="0E3C243F"/>
    <w:rsid w:val="0E416B89"/>
    <w:rsid w:val="0E5434CE"/>
    <w:rsid w:val="0EE94298"/>
    <w:rsid w:val="116243AB"/>
    <w:rsid w:val="127054F4"/>
    <w:rsid w:val="17350EA0"/>
    <w:rsid w:val="1756588A"/>
    <w:rsid w:val="184B185C"/>
    <w:rsid w:val="1A840CF0"/>
    <w:rsid w:val="1C1A0FFC"/>
    <w:rsid w:val="1DF762AD"/>
    <w:rsid w:val="1E665B8F"/>
    <w:rsid w:val="22752239"/>
    <w:rsid w:val="247E0A67"/>
    <w:rsid w:val="26557015"/>
    <w:rsid w:val="277E2365"/>
    <w:rsid w:val="30B90066"/>
    <w:rsid w:val="32240372"/>
    <w:rsid w:val="39033FA0"/>
    <w:rsid w:val="39812A0B"/>
    <w:rsid w:val="3A0A021A"/>
    <w:rsid w:val="3A2D09E5"/>
    <w:rsid w:val="3C1118F5"/>
    <w:rsid w:val="3C8D0F82"/>
    <w:rsid w:val="3FC473D2"/>
    <w:rsid w:val="41F24E13"/>
    <w:rsid w:val="428817E2"/>
    <w:rsid w:val="44652DAA"/>
    <w:rsid w:val="44B77FF1"/>
    <w:rsid w:val="451A393B"/>
    <w:rsid w:val="474C005E"/>
    <w:rsid w:val="4BDF44AB"/>
    <w:rsid w:val="4C3F316C"/>
    <w:rsid w:val="4CDD1F9E"/>
    <w:rsid w:val="4F495023"/>
    <w:rsid w:val="4FF61F57"/>
    <w:rsid w:val="5043090E"/>
    <w:rsid w:val="56CD409C"/>
    <w:rsid w:val="570649EA"/>
    <w:rsid w:val="579348E7"/>
    <w:rsid w:val="58957C73"/>
    <w:rsid w:val="5B8D27DD"/>
    <w:rsid w:val="5F742AEF"/>
    <w:rsid w:val="62AA14A3"/>
    <w:rsid w:val="62B0195A"/>
    <w:rsid w:val="64E773DB"/>
    <w:rsid w:val="66555ABA"/>
    <w:rsid w:val="66846151"/>
    <w:rsid w:val="6A3D2C3A"/>
    <w:rsid w:val="6AAD1E95"/>
    <w:rsid w:val="6C577C93"/>
    <w:rsid w:val="6E40673D"/>
    <w:rsid w:val="6FA444BA"/>
    <w:rsid w:val="74CF2BC3"/>
    <w:rsid w:val="76A95DBF"/>
    <w:rsid w:val="7A717C3D"/>
    <w:rsid w:val="7D333258"/>
    <w:rsid w:val="7DC17134"/>
    <w:rsid w:val="7F926B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rules v:ext="edit">
        <o:r id="V:Rule1" type="connector" idref="#_x0000_s1030"/>
        <o:r id="V:Rule2" type="connector" idref="#_x0000_s1036"/>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9"/>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ascii="Cambria" w:hAnsi="Cambria"/>
      <w:b/>
      <w:bCs/>
      <w:kern w:val="0"/>
      <w:sz w:val="32"/>
      <w:szCs w:val="32"/>
    </w:rPr>
  </w:style>
  <w:style w:type="paragraph" w:styleId="4">
    <w:name w:val="heading 3"/>
    <w:basedOn w:val="1"/>
    <w:next w:val="1"/>
    <w:qFormat/>
    <w:uiPriority w:val="99"/>
    <w:pPr>
      <w:keepNext/>
      <w:keepLines/>
      <w:spacing w:before="260" w:after="260" w:line="416" w:lineRule="auto"/>
      <w:outlineLvl w:val="2"/>
    </w:pPr>
    <w:rPr>
      <w:b/>
      <w:bCs/>
      <w:kern w:val="0"/>
      <w:sz w:val="32"/>
      <w:szCs w:val="32"/>
    </w:rPr>
  </w:style>
  <w:style w:type="character" w:default="1" w:styleId="17">
    <w:name w:val="Default Paragraph Font"/>
    <w:semiHidden/>
    <w:unhideWhenUsed/>
    <w:uiPriority w:val="1"/>
  </w:style>
  <w:style w:type="table" w:default="1" w:styleId="15">
    <w:name w:val="Normal Table"/>
    <w:semiHidden/>
    <w:unhideWhenUsed/>
    <w:qFormat/>
    <w:uiPriority w:val="99"/>
    <w:tblPr>
      <w:tblLayout w:type="fixed"/>
      <w:tblCellMar>
        <w:top w:w="0" w:type="dxa"/>
        <w:left w:w="108" w:type="dxa"/>
        <w:bottom w:w="0" w:type="dxa"/>
        <w:right w:w="108" w:type="dxa"/>
      </w:tblCellMar>
    </w:tblPr>
  </w:style>
  <w:style w:type="paragraph" w:styleId="5">
    <w:name w:val="Normal Indent"/>
    <w:basedOn w:val="1"/>
    <w:next w:val="1"/>
    <w:qFormat/>
    <w:uiPriority w:val="0"/>
    <w:pPr>
      <w:ind w:firstLine="420" w:firstLineChars="200"/>
    </w:pPr>
  </w:style>
  <w:style w:type="paragraph" w:styleId="6">
    <w:name w:val="caption"/>
    <w:basedOn w:val="1"/>
    <w:next w:val="1"/>
    <w:qFormat/>
    <w:uiPriority w:val="0"/>
    <w:pPr>
      <w:spacing w:before="152" w:after="160"/>
    </w:pPr>
    <w:rPr>
      <w:rFonts w:ascii="Arial" w:hAnsi="Arial" w:eastAsia="黑体" w:cs="Arial"/>
      <w:sz w:val="20"/>
      <w:szCs w:val="20"/>
    </w:rPr>
  </w:style>
  <w:style w:type="paragraph" w:styleId="7">
    <w:name w:val="annotation text"/>
    <w:basedOn w:val="1"/>
    <w:qFormat/>
    <w:uiPriority w:val="99"/>
    <w:pPr>
      <w:jc w:val="left"/>
    </w:pPr>
    <w:rPr>
      <w:kern w:val="0"/>
      <w:sz w:val="24"/>
    </w:rPr>
  </w:style>
  <w:style w:type="paragraph" w:styleId="8">
    <w:name w:val="Body Text Indent"/>
    <w:basedOn w:val="1"/>
    <w:qFormat/>
    <w:uiPriority w:val="99"/>
    <w:pPr>
      <w:snapToGrid w:val="0"/>
      <w:spacing w:line="360" w:lineRule="auto"/>
      <w:ind w:firstLine="560" w:firstLineChars="200"/>
    </w:pPr>
    <w:rPr>
      <w:rFonts w:ascii="宋体"/>
      <w:caps/>
      <w:sz w:val="28"/>
      <w:szCs w:val="20"/>
    </w:rPr>
  </w:style>
  <w:style w:type="paragraph" w:styleId="9">
    <w:name w:val="Plain Text"/>
    <w:basedOn w:val="1"/>
    <w:qFormat/>
    <w:uiPriority w:val="0"/>
    <w:rPr>
      <w:rFonts w:ascii="宋体" w:hAnsi="Courier New"/>
      <w:sz w:val="20"/>
      <w:szCs w:val="20"/>
    </w:rPr>
  </w:style>
  <w:style w:type="paragraph" w:styleId="10">
    <w:name w:val="Balloon Text"/>
    <w:basedOn w:val="1"/>
    <w:link w:val="40"/>
    <w:qFormat/>
    <w:uiPriority w:val="0"/>
    <w:rPr>
      <w:sz w:val="18"/>
      <w:szCs w:val="18"/>
    </w:rPr>
  </w:style>
  <w:style w:type="paragraph" w:styleId="11">
    <w:name w:val="footer"/>
    <w:basedOn w:val="1"/>
    <w:link w:val="41"/>
    <w:qFormat/>
    <w:uiPriority w:val="99"/>
    <w:pPr>
      <w:tabs>
        <w:tab w:val="center" w:pos="4153"/>
        <w:tab w:val="right" w:pos="8306"/>
      </w:tabs>
      <w:snapToGrid w:val="0"/>
      <w:jc w:val="left"/>
    </w:pPr>
    <w:rPr>
      <w:kern w:val="0"/>
      <w:sz w:val="18"/>
      <w:szCs w:val="18"/>
    </w:rPr>
  </w:style>
  <w:style w:type="paragraph" w:styleId="12">
    <w:name w:val="header"/>
    <w:basedOn w:val="1"/>
    <w:qFormat/>
    <w:uiPriority w:val="99"/>
    <w:pPr>
      <w:pBdr>
        <w:bottom w:val="single" w:color="auto" w:sz="6" w:space="1"/>
      </w:pBdr>
      <w:tabs>
        <w:tab w:val="center" w:pos="4153"/>
        <w:tab w:val="right" w:pos="8306"/>
      </w:tabs>
      <w:snapToGrid w:val="0"/>
      <w:jc w:val="center"/>
    </w:pPr>
    <w:rPr>
      <w:kern w:val="0"/>
      <w:sz w:val="18"/>
      <w:szCs w:val="18"/>
    </w:rPr>
  </w:style>
  <w:style w:type="paragraph" w:styleId="13">
    <w:name w:val="Body Text Indent 3"/>
    <w:basedOn w:val="1"/>
    <w:uiPriority w:val="0"/>
    <w:pPr>
      <w:spacing w:after="120"/>
      <w:ind w:left="420" w:leftChars="200"/>
    </w:pPr>
    <w:rPr>
      <w:sz w:val="16"/>
      <w:szCs w:val="16"/>
    </w:rPr>
  </w:style>
  <w:style w:type="paragraph" w:styleId="14">
    <w:name w:val="Normal (Web)"/>
    <w:basedOn w:val="1"/>
    <w:qFormat/>
    <w:uiPriority w:val="0"/>
    <w:pPr>
      <w:widowControl/>
      <w:spacing w:before="100" w:beforeAutospacing="1" w:after="100" w:afterAutospacing="1"/>
      <w:jc w:val="left"/>
    </w:pPr>
    <w:rPr>
      <w:rFonts w:ascii="宋体" w:hAnsi="宋体"/>
      <w:kern w:val="0"/>
      <w:sz w:val="24"/>
      <w:szCs w:val="20"/>
    </w:r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18">
    <w:name w:val="page number"/>
    <w:qFormat/>
    <w:uiPriority w:val="99"/>
    <w:rPr>
      <w:rFonts w:cs="Times New Roman"/>
    </w:rPr>
  </w:style>
  <w:style w:type="character" w:styleId="19">
    <w:name w:val="annotation reference"/>
    <w:qFormat/>
    <w:uiPriority w:val="0"/>
    <w:rPr>
      <w:rFonts w:cs="Times New Roman"/>
      <w:sz w:val="21"/>
      <w:szCs w:val="21"/>
    </w:rPr>
  </w:style>
  <w:style w:type="paragraph" w:customStyle="1" w:styleId="20">
    <w:name w:val="Default"/>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21">
    <w:name w:val="小四 间距1.5 缩进2"/>
    <w:basedOn w:val="1"/>
    <w:qFormat/>
    <w:uiPriority w:val="0"/>
    <w:pPr>
      <w:spacing w:line="360" w:lineRule="auto"/>
      <w:ind w:firstLine="415" w:firstLineChars="173"/>
    </w:pPr>
    <w:rPr>
      <w:sz w:val="24"/>
    </w:rPr>
  </w:style>
  <w:style w:type="paragraph" w:customStyle="1" w:styleId="22">
    <w:name w:val="文章正文"/>
    <w:basedOn w:val="1"/>
    <w:qFormat/>
    <w:uiPriority w:val="0"/>
    <w:pPr>
      <w:adjustRightInd w:val="0"/>
      <w:snapToGrid w:val="0"/>
      <w:spacing w:line="360" w:lineRule="auto"/>
      <w:ind w:firstLine="480" w:firstLineChars="200"/>
    </w:pPr>
  </w:style>
  <w:style w:type="character" w:customStyle="1" w:styleId="23">
    <w:name w:val="a小四宋体缩2段间无 Char Char"/>
    <w:link w:val="24"/>
    <w:qFormat/>
    <w:uiPriority w:val="0"/>
    <w:rPr>
      <w:kern w:val="0"/>
      <w:sz w:val="20"/>
      <w:szCs w:val="20"/>
    </w:rPr>
  </w:style>
  <w:style w:type="paragraph" w:customStyle="1" w:styleId="24">
    <w:name w:val="a小四宋体缩2段间无 Char"/>
    <w:basedOn w:val="1"/>
    <w:link w:val="23"/>
    <w:qFormat/>
    <w:uiPriority w:val="0"/>
    <w:pPr>
      <w:widowControl/>
      <w:spacing w:beforeLines="50" w:afterLines="50" w:line="360" w:lineRule="auto"/>
      <w:ind w:firstLine="1440" w:firstLineChars="200"/>
      <w:jc w:val="left"/>
    </w:pPr>
    <w:rPr>
      <w:kern w:val="0"/>
      <w:sz w:val="20"/>
      <w:szCs w:val="20"/>
    </w:rPr>
  </w:style>
  <w:style w:type="paragraph" w:customStyle="1" w:styleId="25">
    <w:name w:val="文本框"/>
    <w:basedOn w:val="1"/>
    <w:qFormat/>
    <w:uiPriority w:val="0"/>
    <w:pPr>
      <w:jc w:val="center"/>
    </w:pPr>
  </w:style>
  <w:style w:type="paragraph" w:customStyle="1" w:styleId="26">
    <w:name w:val="表格"/>
    <w:basedOn w:val="5"/>
    <w:next w:val="1"/>
    <w:qFormat/>
    <w:uiPriority w:val="0"/>
    <w:pPr>
      <w:keepNext/>
      <w:autoSpaceDE w:val="0"/>
      <w:autoSpaceDN w:val="0"/>
      <w:adjustRightInd w:val="0"/>
      <w:jc w:val="center"/>
      <w:textAlignment w:val="baseline"/>
    </w:pPr>
  </w:style>
  <w:style w:type="paragraph" w:customStyle="1" w:styleId="27">
    <w:name w:val="正文内容"/>
    <w:basedOn w:val="1"/>
    <w:qFormat/>
    <w:uiPriority w:val="0"/>
    <w:pPr>
      <w:ind w:firstLine="200" w:firstLineChars="200"/>
    </w:pPr>
    <w:rPr>
      <w:rFonts w:eastAsiaTheme="minorEastAsia"/>
    </w:rPr>
  </w:style>
  <w:style w:type="paragraph" w:customStyle="1" w:styleId="28">
    <w:name w:val="表格、图表名称"/>
    <w:basedOn w:val="1"/>
    <w:qFormat/>
    <w:uiPriority w:val="0"/>
    <w:pPr>
      <w:jc w:val="center"/>
    </w:pPr>
    <w:rPr>
      <w:kern w:val="0"/>
      <w:szCs w:val="22"/>
    </w:rPr>
  </w:style>
  <w:style w:type="paragraph" w:customStyle="1" w:styleId="29">
    <w:name w:val="文本框样式"/>
    <w:basedOn w:val="1"/>
    <w:qFormat/>
    <w:uiPriority w:val="0"/>
    <w:pPr>
      <w:jc w:val="center"/>
    </w:pPr>
  </w:style>
  <w:style w:type="paragraph" w:customStyle="1" w:styleId="30">
    <w:name w:val="Lux 正文"/>
    <w:basedOn w:val="1"/>
    <w:qFormat/>
    <w:uiPriority w:val="0"/>
    <w:pPr>
      <w:spacing w:before="80" w:after="80"/>
      <w:ind w:firstLine="200" w:firstLineChars="200"/>
    </w:pPr>
    <w:rPr>
      <w:kern w:val="0"/>
      <w:szCs w:val="20"/>
    </w:rPr>
  </w:style>
  <w:style w:type="paragraph" w:styleId="31">
    <w:name w:val="No Spacing"/>
    <w:qFormat/>
    <w:uiPriority w:val="1"/>
    <w:pPr>
      <w:widowControl w:val="0"/>
      <w:jc w:val="both"/>
    </w:pPr>
    <w:rPr>
      <w:rFonts w:ascii="Calibri" w:hAnsi="Calibri" w:eastAsia="宋体" w:cs="Times New Roman"/>
      <w:kern w:val="2"/>
      <w:sz w:val="21"/>
      <w:szCs w:val="22"/>
      <w:lang w:val="en-US" w:eastAsia="zh-CN" w:bidi="ar-SA"/>
    </w:rPr>
  </w:style>
  <w:style w:type="paragraph" w:customStyle="1" w:styleId="32">
    <w:name w:val="表格字体"/>
    <w:basedOn w:val="1"/>
    <w:qFormat/>
    <w:uiPriority w:val="0"/>
    <w:pPr>
      <w:adjustRightInd w:val="0"/>
      <w:spacing w:beforeLines="20" w:afterLines="20"/>
      <w:jc w:val="center"/>
      <w:textAlignment w:val="center"/>
    </w:pPr>
    <w:rPr>
      <w:rFonts w:ascii="宋体" w:hAnsi="宋体" w:cs="宋体"/>
    </w:rPr>
  </w:style>
  <w:style w:type="character" w:customStyle="1" w:styleId="33">
    <w:name w:val="fontstyle01"/>
    <w:basedOn w:val="17"/>
    <w:qFormat/>
    <w:uiPriority w:val="0"/>
    <w:rPr>
      <w:rFonts w:hint="eastAsia" w:ascii="宋体" w:hAnsi="宋体" w:eastAsia="宋体"/>
      <w:color w:val="000000"/>
      <w:sz w:val="24"/>
      <w:szCs w:val="24"/>
    </w:rPr>
  </w:style>
  <w:style w:type="paragraph" w:customStyle="1" w:styleId="34">
    <w:name w:val="Table Paragraph"/>
    <w:basedOn w:val="1"/>
    <w:qFormat/>
    <w:uiPriority w:val="1"/>
    <w:pPr>
      <w:jc w:val="left"/>
    </w:pPr>
    <w:rPr>
      <w:rFonts w:ascii="Calibri" w:hAnsi="Calibri" w:eastAsia="Calibri"/>
      <w:kern w:val="0"/>
      <w:sz w:val="22"/>
      <w:lang w:eastAsia="en-US"/>
    </w:rPr>
  </w:style>
  <w:style w:type="paragraph" w:customStyle="1" w:styleId="35">
    <w:name w:val="小标题"/>
    <w:basedOn w:val="36"/>
    <w:qFormat/>
    <w:uiPriority w:val="0"/>
    <w:pPr>
      <w:ind w:firstLine="0" w:firstLineChars="0"/>
      <w:jc w:val="left"/>
    </w:pPr>
    <w:rPr>
      <w:bCs/>
    </w:rPr>
  </w:style>
  <w:style w:type="paragraph" w:customStyle="1" w:styleId="36">
    <w:name w:val="正文-lin"/>
    <w:basedOn w:val="1"/>
    <w:qFormat/>
    <w:uiPriority w:val="0"/>
    <w:pPr>
      <w:ind w:firstLine="1040" w:firstLineChars="200"/>
    </w:pPr>
    <w:rPr>
      <w:rFonts w:asciiTheme="minorHAnsi" w:hAnsiTheme="minorHAnsi" w:eastAsiaTheme="minorEastAsia"/>
      <w:szCs w:val="22"/>
    </w:rPr>
  </w:style>
  <w:style w:type="paragraph" w:customStyle="1" w:styleId="37">
    <w:name w:val="表内容"/>
    <w:basedOn w:val="1"/>
    <w:next w:val="27"/>
    <w:qFormat/>
    <w:uiPriority w:val="0"/>
    <w:pPr>
      <w:jc w:val="center"/>
    </w:pPr>
  </w:style>
  <w:style w:type="paragraph" w:customStyle="1" w:styleId="38">
    <w:name w:val="表格文字"/>
    <w:basedOn w:val="9"/>
    <w:qFormat/>
    <w:uiPriority w:val="0"/>
    <w:pPr>
      <w:adjustRightInd w:val="0"/>
      <w:snapToGrid w:val="0"/>
      <w:spacing w:line="360" w:lineRule="auto"/>
      <w:ind w:left="105" w:leftChars="50" w:firstLine="420" w:firstLineChars="200"/>
    </w:pPr>
    <w:rPr>
      <w:rFonts w:ascii="Times New Roman" w:hAnsi="Times New Roman"/>
      <w:sz w:val="21"/>
      <w:szCs w:val="24"/>
      <w:lang w:val="en-IE"/>
    </w:rPr>
  </w:style>
  <w:style w:type="table" w:customStyle="1" w:styleId="39">
    <w:name w:val="网格型1"/>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40">
    <w:name w:val="批注框文本 Char"/>
    <w:basedOn w:val="17"/>
    <w:link w:val="10"/>
    <w:uiPriority w:val="0"/>
    <w:rPr>
      <w:kern w:val="2"/>
      <w:sz w:val="18"/>
      <w:szCs w:val="18"/>
    </w:rPr>
  </w:style>
  <w:style w:type="character" w:customStyle="1" w:styleId="41">
    <w:name w:val="页脚 Char"/>
    <w:basedOn w:val="17"/>
    <w:link w:val="11"/>
    <w:qFormat/>
    <w:uiPriority w:val="99"/>
    <w:rPr>
      <w:sz w:val="18"/>
      <w:szCs w:val="18"/>
    </w:rPr>
  </w:style>
  <w:style w:type="paragraph" w:customStyle="1" w:styleId="42">
    <w:name w:val="表 内容"/>
    <w:basedOn w:val="1"/>
    <w:qFormat/>
    <w:uiPriority w:val="0"/>
    <w:pPr>
      <w:widowControl w:val="0"/>
      <w:adjustRightInd w:val="0"/>
      <w:snapToGrid w:val="0"/>
      <w:spacing w:beforeLines="15" w:afterLines="15" w:line="240" w:lineRule="auto"/>
      <w:jc w:val="center"/>
    </w:pPr>
    <w:rPr>
      <w:b/>
      <w:szCs w:val="21"/>
    </w:rPr>
  </w:style>
  <w:style w:type="paragraph" w:customStyle="1" w:styleId="43">
    <w:name w:val="正文~"/>
    <w:basedOn w:val="1"/>
    <w:qFormat/>
    <w:uiPriority w:val="0"/>
    <w:pPr>
      <w:spacing w:line="360" w:lineRule="auto"/>
      <w:ind w:firstLine="177" w:firstLineChars="177"/>
    </w:pPr>
    <w:rPr>
      <w:szCs w:val="24"/>
    </w:rPr>
  </w:style>
  <w:style w:type="character" w:customStyle="1" w:styleId="44">
    <w:name w:val="font11"/>
    <w:basedOn w:val="17"/>
    <w:uiPriority w:val="0"/>
    <w:rPr>
      <w:rFonts w:hint="default" w:ascii="Times New Roman" w:hAnsi="Times New Roman" w:cs="Times New Roman"/>
      <w:color w:val="000000"/>
      <w:sz w:val="21"/>
      <w:szCs w:val="21"/>
      <w:u w:val="none"/>
    </w:rPr>
  </w:style>
  <w:style w:type="character" w:customStyle="1" w:styleId="45">
    <w:name w:val="font01"/>
    <w:basedOn w:val="17"/>
    <w:uiPriority w:val="0"/>
    <w:rPr>
      <w:rFonts w:hint="eastAsia" w:ascii="宋体" w:hAnsi="宋体" w:eastAsia="宋体" w:cs="宋体"/>
      <w:color w:val="000000"/>
      <w:sz w:val="21"/>
      <w:szCs w:val="21"/>
      <w:u w:val="none"/>
    </w:rPr>
  </w:style>
  <w:style w:type="paragraph" w:customStyle="1" w:styleId="46">
    <w:name w:val="表格 32"/>
    <w:basedOn w:val="1"/>
    <w:uiPriority w:val="0"/>
    <w:pPr>
      <w:autoSpaceDE w:val="0"/>
      <w:autoSpaceDN w:val="0"/>
      <w:adjustRightInd w:val="0"/>
      <w:ind w:firstLine="0"/>
      <w:jc w:val="center"/>
      <w:textAlignment w:val="baseline"/>
    </w:pPr>
    <w:rPr>
      <w:rFonts w:ascii="宋体" w:hAnsi="Impact"/>
      <w:kern w:val="24"/>
    </w:rPr>
  </w:style>
  <w:style w:type="paragraph" w:customStyle="1" w:styleId="47">
    <w:name w:val="TT正文"/>
    <w:basedOn w:val="1"/>
    <w:qFormat/>
    <w:uiPriority w:val="0"/>
    <w:pPr>
      <w:widowControl w:val="0"/>
      <w:spacing w:line="240" w:lineRule="auto"/>
      <w:ind w:firstLine="200" w:firstLineChars="200"/>
    </w:pPr>
    <w:rPr>
      <w:rFonts w:cs="宋体"/>
      <w:color w:val="000000"/>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7" Type="http://schemas.openxmlformats.org/officeDocument/2006/relationships/fontTable" Target="fontTable.xml"/><Relationship Id="rId46" Type="http://schemas.openxmlformats.org/officeDocument/2006/relationships/customXml" Target="../customXml/item2.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4.pn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1.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http://zwgk.gd.gov.cn/007482532/201307/W020130718855029063590.ucap" TargetMode="External"/><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jpe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jpeg"/><Relationship Id="rId21" Type="http://schemas.openxmlformats.org/officeDocument/2006/relationships/image" Target="media/image13.png"/><Relationship Id="rId20" Type="http://schemas.openxmlformats.org/officeDocument/2006/relationships/image" Target="media/image12.bmp"/><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wmf"/><Relationship Id="rId11" Type="http://schemas.openxmlformats.org/officeDocument/2006/relationships/image" Target="media/image3.w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textRotate="1"/>
    <customShpInfo spid="_x0000_s1026"/>
    <customShpInfo spid="_x0000_s1027"/>
    <customShpInfo spid="_x0000_s1028"/>
    <customShpInfo spid="_x0000_s1052"/>
    <customShpInfo spid="_x0000_s1031"/>
    <customShpInfo spid="_x0000_s1081"/>
    <customShpInfo spid="_x0000_s1079"/>
    <customShpInfo spid="_x0000_s1080"/>
    <customShpInfo spid="_x0000_s1082"/>
    <customShpInfo spid="_x0000_s1029"/>
    <customShpInfo spid="_x0000_s1030"/>
    <customShpInfo spid="_x0000_s1076"/>
    <customShpInfo spid="_x0000_s1060"/>
    <customShpInfo spid="_x0000_s1074"/>
    <customShpInfo spid="_x0000_s1075"/>
    <customShpInfo spid="_x0000_s1057"/>
    <customShpInfo spid="_x0000_s1056"/>
    <customShpInfo spid="_x0000_s1073"/>
    <customShpInfo spid="_x0000_s1072"/>
    <customShpInfo spid="_x0000_s1070"/>
    <customShpInfo spid="_x0000_s1071"/>
    <customShpInfo spid="_x0000_s1061"/>
    <customShpInfo spid="_x0000_s1062"/>
    <customShpInfo spid="_x0000_s1063"/>
    <customShpInfo spid="_x0000_s1064"/>
    <customShpInfo spid="_x0000_s1065"/>
    <customShpInfo spid="_x0000_s1066"/>
    <customShpInfo spid="_x0000_s1055"/>
    <customShpInfo spid="_x0000_s1054"/>
    <customShpInfo spid="_x0000_s1053"/>
    <customShpInfo spid="_x0000_s1032"/>
    <customShpInfo spid="_x0000_s1058"/>
    <customShpInfo spid="_x0000_s1059"/>
    <customShpInfo spid="_x0000_s1033"/>
    <customShpInfo spid="_x0000_s1034"/>
    <customShpInfo spid="_x0000_s1035"/>
    <customShpInfo spid="_x0000_s1036"/>
    <customShpInfo spid="_x0000_s1083"/>
    <customShpInfo spid="_x0000_s1084"/>
    <customShpInfo spid="_x0000_s1085"/>
    <customShpInfo spid="_x0000_s1086"/>
    <customShpInfo spid="_x0000_s1089"/>
    <customShpInfo spid="_x0000_s1088"/>
    <customShpInfo spid="_x0000_s1091"/>
    <customShpInfo spid="_x0000_s1092"/>
    <customShpInfo spid="_x0000_s1093"/>
    <customShpInfo spid="_x0000_s1094"/>
    <customShpInfo spid="_x0000_s1096"/>
    <customShpInfo spid="_x0000_s1097"/>
    <customShpInfo spid="_x0000_s1102"/>
    <customShpInfo spid="_x0000_s1099"/>
    <customShpInfo spid="_x0000_s1098"/>
    <customShpInfo spid="_x0000_s1101"/>
    <customShpInfo spid="_x0000_s1107"/>
    <customShpInfo spid="_x0000_s1108"/>
    <customShpInfo spid="_x0000_s1105"/>
    <customShpInfo spid="_x0000_s1106"/>
    <customShpInfo spid="_x0000_s1038"/>
    <customShpInfo spid="_x0000_s1039"/>
    <customShpInfo spid="_x0000_s1037"/>
    <customShpInfo spid="_x0000_s1041"/>
    <customShpInfo spid="_x0000_s1042"/>
    <customShpInfo spid="_x0000_s1040"/>
    <customShpInfo spid="_x0000_s1044"/>
    <customShpInfo spid="_x0000_s1045"/>
    <customShpInfo spid="_x0000_s1043"/>
    <customShpInfo spid="_x0000_s1047"/>
    <customShpInfo spid="_x0000_s1048"/>
    <customShpInfo spid="_x0000_s1046"/>
    <customShpInfo spid="_x0000_s1050"/>
    <customShpInfo spid="_x0000_s1051"/>
    <customShpInfo spid="_x0000_s1049"/>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BC27282-F5D7-464B-89B3-D1EA8B53541B}">
  <ds:schemaRefs/>
</ds:datastoreItem>
</file>

<file path=docProps/app.xml><?xml version="1.0" encoding="utf-8"?>
<Properties xmlns="http://schemas.openxmlformats.org/officeDocument/2006/extended-properties" xmlns:vt="http://schemas.openxmlformats.org/officeDocument/2006/docPropsVTypes">
  <Template>Normal</Template>
  <Pages>80</Pages>
  <Words>34269</Words>
  <Characters>39392</Characters>
  <Lines>305</Lines>
  <Paragraphs>85</Paragraphs>
  <TotalTime>22</TotalTime>
  <ScaleCrop>false</ScaleCrop>
  <LinksUpToDate>false</LinksUpToDate>
  <CharactersWithSpaces>39873</CharactersWithSpaces>
  <Application>WPS Office_11.3.0.8632_F1E327BC-269C-435d-A152-05C5408002CA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2019-04-02T01:43:00Z</dcterms:created>
  <dc:creator>Administrator</dc:creator>
  <cp:lastModifiedBy>苏炳积</cp:lastModifiedBy>
  <cp:lastPrinted>2019-04-11T03:15:00Z</cp:lastPrinted>
  <dcterms:modified xsi:type="dcterms:W3CDTF">2019-06-20T13:29:14Z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2052-11.3.0.8632</vt:lpwstr>
  </property>
</Properties>
</file>