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FD" w:rsidRDefault="005B167F">
      <w:pPr>
        <w:pStyle w:val="a5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 w:rsidR="00324DFD" w:rsidRPr="00126356" w:rsidRDefault="005B167F">
      <w:pPr>
        <w:pStyle w:val="a5"/>
        <w:kinsoku w:val="0"/>
        <w:overflowPunct w:val="0"/>
        <w:ind w:left="0"/>
        <w:rPr>
          <w:rFonts w:ascii="Times New Roman" w:cs="Times New Roman"/>
        </w:rPr>
      </w:pPr>
      <w:r w:rsidRPr="00126356">
        <w:rPr>
          <w:rFonts w:ascii="Times New Roman" w:cs="Times New Roman"/>
        </w:rPr>
        <w:t>监测时段</w:t>
      </w:r>
      <w:r w:rsidRPr="00126356">
        <w:rPr>
          <w:rFonts w:ascii="Times New Roman" w:cs="Times New Roman"/>
          <w:spacing w:val="-1"/>
        </w:rPr>
        <w:t>：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AE56C1">
        <w:rPr>
          <w:rFonts w:ascii="Times New Roman" w:cs="Times New Roman"/>
          <w:spacing w:val="-1"/>
          <w:u w:val="single"/>
        </w:rPr>
        <w:t>4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 w:hint="eastAsia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至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AE56C1">
        <w:rPr>
          <w:rFonts w:ascii="Times New Roman" w:cs="Times New Roman"/>
          <w:spacing w:val="-1"/>
          <w:u w:val="single"/>
        </w:rPr>
        <w:t>6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/>
          <w:spacing w:val="-1"/>
          <w:u w:val="single"/>
        </w:rPr>
        <w:t>3</w:t>
      </w:r>
      <w:r w:rsidR="00AE56C1">
        <w:rPr>
          <w:rFonts w:ascii="Times New Roman" w:cs="Times New Roman"/>
          <w:spacing w:val="-1"/>
          <w:u w:val="single"/>
        </w:rPr>
        <w:t>0</w:t>
      </w:r>
      <w:r w:rsidRPr="00380854">
        <w:rPr>
          <w:rFonts w:ascii="Times New Roman" w:cs="Times New Roman"/>
          <w:spacing w:val="-1"/>
          <w:u w:val="single"/>
        </w:rPr>
        <w:t>日</w:t>
      </w:r>
    </w:p>
    <w:p w:rsidR="00324DFD" w:rsidRDefault="00324DF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790"/>
        <w:gridCol w:w="221"/>
        <w:gridCol w:w="1342"/>
        <w:gridCol w:w="796"/>
        <w:gridCol w:w="1911"/>
        <w:gridCol w:w="34"/>
        <w:gridCol w:w="1704"/>
        <w:gridCol w:w="1577"/>
      </w:tblGrid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项目名称</w:t>
            </w:r>
          </w:p>
        </w:tc>
        <w:tc>
          <w:tcPr>
            <w:tcW w:w="4041" w:type="pct"/>
            <w:gridSpan w:val="7"/>
            <w:vAlign w:val="center"/>
          </w:tcPr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洲际华府·世家项目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建设单位联</w:t>
            </w:r>
          </w:p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系人及电话</w:t>
            </w:r>
          </w:p>
        </w:tc>
        <w:tc>
          <w:tcPr>
            <w:tcW w:w="833" w:type="pct"/>
            <w:gridSpan w:val="2"/>
            <w:vAlign w:val="center"/>
          </w:tcPr>
          <w:p w:rsidR="004724A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魏大忠</w:t>
            </w:r>
          </w:p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13608836239</w:t>
            </w:r>
          </w:p>
        </w:tc>
        <w:tc>
          <w:tcPr>
            <w:tcW w:w="1460" w:type="pct"/>
            <w:gridSpan w:val="3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总监测工程师（签字）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  <w:tc>
          <w:tcPr>
            <w:tcW w:w="1748" w:type="pct"/>
            <w:gridSpan w:val="2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生产建设单位（盖章）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填表人及电话</w:t>
            </w:r>
          </w:p>
        </w:tc>
        <w:tc>
          <w:tcPr>
            <w:tcW w:w="833" w:type="pct"/>
            <w:gridSpan w:val="2"/>
            <w:vAlign w:val="center"/>
          </w:tcPr>
          <w:p w:rsidR="00324DFD" w:rsidRPr="0034379E" w:rsidRDefault="003267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姜明正</w:t>
            </w:r>
            <w:r w:rsidR="004724AE" w:rsidRPr="004724AE">
              <w:rPr>
                <w:rFonts w:hint="eastAsia"/>
                <w:sz w:val="18"/>
                <w:szCs w:val="18"/>
              </w:rPr>
              <w:t xml:space="preserve">     0871-67383541</w:t>
            </w:r>
          </w:p>
        </w:tc>
        <w:tc>
          <w:tcPr>
            <w:tcW w:w="1460" w:type="pct"/>
            <w:gridSpan w:val="3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8" w:type="pct"/>
            <w:gridSpan w:val="2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1791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主体工程进度</w:t>
            </w:r>
          </w:p>
        </w:tc>
        <w:tc>
          <w:tcPr>
            <w:tcW w:w="3209" w:type="pct"/>
            <w:gridSpan w:val="5"/>
            <w:vAlign w:val="center"/>
          </w:tcPr>
          <w:p w:rsidR="00324DFD" w:rsidRPr="0034379E" w:rsidRDefault="000D6439" w:rsidP="00126356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目前</w:t>
            </w:r>
            <w:r w:rsidR="0032678B">
              <w:rPr>
                <w:rFonts w:hint="eastAsia"/>
                <w:sz w:val="18"/>
                <w:szCs w:val="18"/>
              </w:rPr>
              <w:t>主体建筑已</w:t>
            </w:r>
            <w:r w:rsidR="00AE56C1">
              <w:rPr>
                <w:rFonts w:hint="eastAsia"/>
                <w:sz w:val="18"/>
                <w:szCs w:val="18"/>
              </w:rPr>
              <w:t>完工</w:t>
            </w:r>
            <w:r w:rsidR="0032678B">
              <w:rPr>
                <w:rFonts w:hint="eastAsia"/>
                <w:sz w:val="18"/>
                <w:szCs w:val="18"/>
              </w:rPr>
              <w:t>，</w:t>
            </w:r>
            <w:r w:rsidR="00380854">
              <w:rPr>
                <w:rFonts w:hint="eastAsia"/>
                <w:sz w:val="18"/>
                <w:szCs w:val="18"/>
              </w:rPr>
              <w:t>正在</w:t>
            </w:r>
            <w:r w:rsidR="0032678B">
              <w:rPr>
                <w:rFonts w:hint="eastAsia"/>
                <w:sz w:val="18"/>
                <w:szCs w:val="18"/>
              </w:rPr>
              <w:t>实施</w:t>
            </w:r>
            <w:r w:rsidR="00AE56C1">
              <w:rPr>
                <w:rFonts w:hint="eastAsia"/>
                <w:sz w:val="18"/>
                <w:szCs w:val="18"/>
              </w:rPr>
              <w:t>景观工程</w:t>
            </w:r>
            <w:r w:rsidR="005B167F" w:rsidRPr="0034379E">
              <w:rPr>
                <w:sz w:val="18"/>
                <w:szCs w:val="18"/>
              </w:rPr>
              <w:t>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指</w:t>
            </w:r>
            <w:r w:rsidRPr="0034379E">
              <w:rPr>
                <w:rFonts w:eastAsia="宋体"/>
                <w:sz w:val="18"/>
                <w:szCs w:val="18"/>
              </w:rPr>
              <w:t xml:space="preserve">  </w:t>
            </w:r>
            <w:r w:rsidRPr="0034379E">
              <w:rPr>
                <w:rFonts w:eastAsia="宋体"/>
                <w:sz w:val="18"/>
                <w:szCs w:val="18"/>
              </w:rPr>
              <w:t>标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设计总量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本季度新增</w:t>
            </w:r>
          </w:p>
        </w:tc>
        <w:tc>
          <w:tcPr>
            <w:tcW w:w="840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累计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扰动土地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面积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</w:t>
            </w:r>
            <w:r w:rsidRPr="0034379E">
              <w:rPr>
                <w:rFonts w:eastAsia="宋体"/>
                <w:sz w:val="18"/>
                <w:szCs w:val="18"/>
              </w:rPr>
              <w:t>hm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80854" w:rsidRPr="0034379E" w:rsidRDefault="00380854" w:rsidP="001909D4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.57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.27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szCs w:val="18"/>
              </w:rPr>
            </w:pPr>
            <w:r w:rsidRPr="0034379E">
              <w:rPr>
                <w:rFonts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建构筑物区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.23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.23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道路及硬化区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.37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绿化区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.97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施工临时场地</w:t>
            </w:r>
          </w:p>
        </w:tc>
        <w:tc>
          <w:tcPr>
            <w:tcW w:w="2785" w:type="pct"/>
            <w:gridSpan w:val="4"/>
            <w:vAlign w:val="center"/>
          </w:tcPr>
          <w:p w:rsidR="00380854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80854">
              <w:rPr>
                <w:rFonts w:hint="eastAsia"/>
                <w:sz w:val="18"/>
                <w:szCs w:val="18"/>
              </w:rPr>
              <w:t>布置在项目区内，不重复计入总面积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弃土（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石</w:t>
            </w:r>
            <w:r w:rsidRPr="0034379E">
              <w:rPr>
                <w:rFonts w:eastAsia="宋体"/>
                <w:sz w:val="18"/>
                <w:szCs w:val="18"/>
              </w:rPr>
              <w:t>、渣）场数量（</w:t>
            </w:r>
            <w:proofErr w:type="gramStart"/>
            <w:r w:rsidRPr="0034379E">
              <w:rPr>
                <w:rFonts w:eastAsia="宋体"/>
                <w:sz w:val="18"/>
                <w:szCs w:val="18"/>
              </w:rPr>
              <w:t>个</w:t>
            </w:r>
            <w:proofErr w:type="gramEnd"/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（石、渣）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情况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（万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 w:rsidR="00380854">
              <w:rPr>
                <w:rFonts w:eastAsia="宋体" w:hint="eastAsia"/>
                <w:spacing w:val="-1"/>
                <w:sz w:val="18"/>
                <w:szCs w:val="18"/>
              </w:rPr>
              <w:t>场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临时堆土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拦渣率（</w:t>
            </w:r>
            <w:r w:rsidRPr="0034379E">
              <w:rPr>
                <w:rFonts w:eastAsia="宋体"/>
                <w:sz w:val="18"/>
                <w:szCs w:val="18"/>
              </w:rPr>
              <w:t>%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 w:rsidP="00F342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水土保持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工程进度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工程</w:t>
            </w:r>
          </w:p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雨水管（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植物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eastAsia="宋体" w:hint="eastAsia"/>
                <w:spacing w:val="-1"/>
                <w:sz w:val="18"/>
                <w:szCs w:val="18"/>
              </w:rPr>
              <w:t>景观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绿化（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合计</w:t>
            </w:r>
            <w:r w:rsidRPr="0034379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 w:rsidRPr="0034379E">
              <w:rPr>
                <w:sz w:val="18"/>
                <w:szCs w:val="18"/>
              </w:rPr>
              <w:t>hm²)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车辆清</w:t>
            </w:r>
            <w:r>
              <w:rPr>
                <w:rFonts w:hint="eastAsia"/>
                <w:sz w:val="18"/>
                <w:szCs w:val="18"/>
              </w:rPr>
              <w:t>洁</w:t>
            </w:r>
            <w:r w:rsidRPr="0034379E">
              <w:rPr>
                <w:sz w:val="18"/>
                <w:szCs w:val="18"/>
              </w:rPr>
              <w:t>池（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临时沉砂池（口）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临时排水沟（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临时土工布覆盖（</w:t>
            </w:r>
            <w:r w:rsidRPr="0034379E">
              <w:rPr>
                <w:sz w:val="18"/>
                <w:szCs w:val="18"/>
              </w:rPr>
              <w:t>hm</w:t>
            </w:r>
            <w:r w:rsidRPr="0034379E">
              <w:rPr>
                <w:sz w:val="18"/>
                <w:szCs w:val="18"/>
                <w:vertAlign w:val="superscript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影响因子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降雨量</w:t>
            </w:r>
            <w:r w:rsidRPr="0034379E">
              <w:rPr>
                <w:rFonts w:eastAsia="宋体"/>
                <w:sz w:val="18"/>
                <w:szCs w:val="18"/>
              </w:rPr>
              <w:t>(mm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267.4</w:t>
            </w:r>
          </w:p>
        </w:tc>
        <w:tc>
          <w:tcPr>
            <w:tcW w:w="840" w:type="pct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最</w:t>
            </w:r>
            <w:r w:rsidRPr="0034379E">
              <w:rPr>
                <w:rFonts w:eastAsia="宋体"/>
                <w:sz w:val="18"/>
                <w:szCs w:val="18"/>
              </w:rPr>
              <w:t>大</w:t>
            </w:r>
            <w:r w:rsidRPr="0034379E">
              <w:rPr>
                <w:rFonts w:eastAsia="宋体"/>
                <w:sz w:val="18"/>
                <w:szCs w:val="18"/>
              </w:rPr>
              <w:t>24</w:t>
            </w:r>
            <w:r w:rsidRPr="0034379E"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小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时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降雨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(mm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52.7</w:t>
            </w:r>
          </w:p>
        </w:tc>
        <w:tc>
          <w:tcPr>
            <w:tcW w:w="840" w:type="pct"/>
            <w:vAlign w:val="center"/>
          </w:tcPr>
          <w:p w:rsidR="00324DFD" w:rsidRPr="0034379E" w:rsidRDefault="00BF6F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最大风速</w:t>
            </w:r>
            <w:r w:rsidRPr="0034379E">
              <w:rPr>
                <w:rFonts w:eastAsia="宋体"/>
                <w:sz w:val="18"/>
                <w:szCs w:val="18"/>
              </w:rPr>
              <w:t>(m/s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失</w:t>
            </w:r>
            <w:r w:rsidRPr="0034379E">
              <w:rPr>
                <w:rFonts w:eastAsia="宋体"/>
                <w:sz w:val="18"/>
                <w:szCs w:val="18"/>
              </w:rPr>
              <w:t>量（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7579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6.74</w:t>
            </w:r>
          </w:p>
        </w:tc>
        <w:tc>
          <w:tcPr>
            <w:tcW w:w="840" w:type="pct"/>
            <w:vAlign w:val="center"/>
          </w:tcPr>
          <w:p w:rsidR="00324DFD" w:rsidRPr="0034379E" w:rsidRDefault="0075798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262.71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</w:t>
            </w:r>
            <w:r w:rsidRPr="0034379E">
              <w:rPr>
                <w:rFonts w:eastAsia="宋体"/>
                <w:spacing w:val="-72"/>
                <w:sz w:val="18"/>
                <w:szCs w:val="18"/>
              </w:rPr>
              <w:t>土</w:t>
            </w:r>
            <w:r w:rsidRPr="0034379E">
              <w:rPr>
                <w:rFonts w:eastAsia="宋体"/>
                <w:sz w:val="18"/>
                <w:szCs w:val="18"/>
              </w:rPr>
              <w:t>（石、渣）潜在土壤流失量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无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435DD2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2019</w:t>
            </w:r>
            <w:r w:rsidRPr="0034379E">
              <w:rPr>
                <w:sz w:val="18"/>
                <w:szCs w:val="18"/>
              </w:rPr>
              <w:t>年</w:t>
            </w:r>
            <w:r w:rsidR="00AE56C1">
              <w:rPr>
                <w:sz w:val="18"/>
                <w:szCs w:val="18"/>
              </w:rPr>
              <w:t>6</w:t>
            </w:r>
            <w:r w:rsidRPr="0034379E">
              <w:rPr>
                <w:sz w:val="18"/>
                <w:szCs w:val="18"/>
              </w:rPr>
              <w:t>月</w:t>
            </w:r>
            <w:r w:rsidR="00AE56C1">
              <w:rPr>
                <w:rFonts w:hint="eastAsia"/>
                <w:sz w:val="18"/>
                <w:szCs w:val="18"/>
              </w:rPr>
              <w:t>2</w:t>
            </w:r>
            <w:r w:rsidR="00AE56C1">
              <w:rPr>
                <w:sz w:val="18"/>
                <w:szCs w:val="18"/>
              </w:rPr>
              <w:t>9</w:t>
            </w:r>
            <w:r w:rsidRPr="0034379E">
              <w:rPr>
                <w:sz w:val="18"/>
                <w:szCs w:val="18"/>
              </w:rPr>
              <w:t>日进行监测，监测主要调查</w:t>
            </w:r>
            <w:r w:rsidR="0032678B">
              <w:rPr>
                <w:rFonts w:hint="eastAsia"/>
                <w:sz w:val="18"/>
                <w:szCs w:val="18"/>
              </w:rPr>
              <w:t>水土流失</w:t>
            </w:r>
            <w:r w:rsidRPr="0034379E">
              <w:rPr>
                <w:sz w:val="18"/>
                <w:szCs w:val="18"/>
              </w:rPr>
              <w:t>情况、水土保持工程措施及施工临时措施实施情况等。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126356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1</w:t>
            </w:r>
            <w:r w:rsidRPr="0034379E">
              <w:rPr>
                <w:sz w:val="18"/>
                <w:szCs w:val="18"/>
              </w:rPr>
              <w:t>）本工程现处于施工期，应加强水土保持管护工作，对已实施的</w:t>
            </w:r>
            <w:r w:rsidR="00B93975">
              <w:rPr>
                <w:rFonts w:hint="eastAsia"/>
                <w:sz w:val="18"/>
                <w:szCs w:val="18"/>
              </w:rPr>
              <w:t>车辆清洁池</w:t>
            </w:r>
            <w:r w:rsidRPr="0034379E">
              <w:rPr>
                <w:sz w:val="18"/>
                <w:szCs w:val="18"/>
              </w:rPr>
              <w:t>，临时沉砂池进行及时的清理，洗车用水及时的更换；</w:t>
            </w:r>
            <w:bookmarkStart w:id="0" w:name="_GoBack"/>
            <w:bookmarkEnd w:id="0"/>
          </w:p>
          <w:p w:rsidR="00324DFD" w:rsidRPr="0034379E" w:rsidRDefault="005B167F" w:rsidP="0034379E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  <w:r w:rsidR="0034379E">
              <w:rPr>
                <w:rFonts w:hint="eastAsia"/>
                <w:sz w:val="18"/>
                <w:szCs w:val="18"/>
              </w:rPr>
              <w:t>降雨</w:t>
            </w:r>
            <w:r w:rsidR="0034379E">
              <w:rPr>
                <w:sz w:val="18"/>
                <w:szCs w:val="18"/>
              </w:rPr>
              <w:t>天气要对裸露土质地表实施临时土工布覆盖措施</w:t>
            </w:r>
            <w:r w:rsidRPr="0034379E">
              <w:rPr>
                <w:sz w:val="18"/>
                <w:szCs w:val="18"/>
              </w:rPr>
              <w:t>。</w:t>
            </w:r>
          </w:p>
        </w:tc>
      </w:tr>
    </w:tbl>
    <w:p w:rsidR="00324DFD" w:rsidRDefault="00324DFD" w:rsidP="000D6439">
      <w:pPr>
        <w:rPr>
          <w:color w:val="FF0000"/>
        </w:rPr>
      </w:pPr>
    </w:p>
    <w:sectPr w:rsidR="00324DFD" w:rsidSect="0012635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E2" w:rsidRDefault="00E257E2" w:rsidP="001909D4">
      <w:r>
        <w:separator/>
      </w:r>
    </w:p>
  </w:endnote>
  <w:endnote w:type="continuationSeparator" w:id="0">
    <w:p w:rsidR="00E257E2" w:rsidRDefault="00E257E2" w:rsidP="001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E2" w:rsidRDefault="00E257E2" w:rsidP="001909D4">
      <w:r>
        <w:separator/>
      </w:r>
    </w:p>
  </w:footnote>
  <w:footnote w:type="continuationSeparator" w:id="0">
    <w:p w:rsidR="00E257E2" w:rsidRDefault="00E257E2" w:rsidP="0019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10"/>
    <w:rsid w:val="00032DB9"/>
    <w:rsid w:val="000458FE"/>
    <w:rsid w:val="00052823"/>
    <w:rsid w:val="000D0A04"/>
    <w:rsid w:val="000D6439"/>
    <w:rsid w:val="00113E95"/>
    <w:rsid w:val="0011780F"/>
    <w:rsid w:val="00126356"/>
    <w:rsid w:val="00130B4F"/>
    <w:rsid w:val="001460EC"/>
    <w:rsid w:val="00174E3C"/>
    <w:rsid w:val="001909D4"/>
    <w:rsid w:val="00216C9E"/>
    <w:rsid w:val="002359D7"/>
    <w:rsid w:val="002366F0"/>
    <w:rsid w:val="00243ACE"/>
    <w:rsid w:val="002669EC"/>
    <w:rsid w:val="0028602A"/>
    <w:rsid w:val="002B2DF5"/>
    <w:rsid w:val="002F208A"/>
    <w:rsid w:val="00322CDC"/>
    <w:rsid w:val="00324DFD"/>
    <w:rsid w:val="0032678B"/>
    <w:rsid w:val="0034379E"/>
    <w:rsid w:val="00346738"/>
    <w:rsid w:val="00380854"/>
    <w:rsid w:val="00385333"/>
    <w:rsid w:val="003A3EAB"/>
    <w:rsid w:val="003B2EFB"/>
    <w:rsid w:val="003F5A88"/>
    <w:rsid w:val="003F714D"/>
    <w:rsid w:val="0040498B"/>
    <w:rsid w:val="00435DD2"/>
    <w:rsid w:val="004542E3"/>
    <w:rsid w:val="004724AE"/>
    <w:rsid w:val="004A78D7"/>
    <w:rsid w:val="004B184D"/>
    <w:rsid w:val="004C3CA6"/>
    <w:rsid w:val="0050124A"/>
    <w:rsid w:val="00527C6C"/>
    <w:rsid w:val="00545744"/>
    <w:rsid w:val="00547732"/>
    <w:rsid w:val="00595FE3"/>
    <w:rsid w:val="005B167F"/>
    <w:rsid w:val="0060239C"/>
    <w:rsid w:val="0062593C"/>
    <w:rsid w:val="0064325D"/>
    <w:rsid w:val="006529B0"/>
    <w:rsid w:val="00691832"/>
    <w:rsid w:val="006B3DDB"/>
    <w:rsid w:val="0075452A"/>
    <w:rsid w:val="0075798A"/>
    <w:rsid w:val="00805DA1"/>
    <w:rsid w:val="00825E73"/>
    <w:rsid w:val="00832B0B"/>
    <w:rsid w:val="008376AD"/>
    <w:rsid w:val="00852723"/>
    <w:rsid w:val="0089332C"/>
    <w:rsid w:val="008D386A"/>
    <w:rsid w:val="009340DF"/>
    <w:rsid w:val="0093728C"/>
    <w:rsid w:val="00951A37"/>
    <w:rsid w:val="00954566"/>
    <w:rsid w:val="009562E9"/>
    <w:rsid w:val="009E0459"/>
    <w:rsid w:val="009E2738"/>
    <w:rsid w:val="00A16BD7"/>
    <w:rsid w:val="00A34AD2"/>
    <w:rsid w:val="00A65DBC"/>
    <w:rsid w:val="00AA0031"/>
    <w:rsid w:val="00AC4218"/>
    <w:rsid w:val="00AC62E5"/>
    <w:rsid w:val="00AD3566"/>
    <w:rsid w:val="00AE56C1"/>
    <w:rsid w:val="00AE78F1"/>
    <w:rsid w:val="00AF3504"/>
    <w:rsid w:val="00B13696"/>
    <w:rsid w:val="00B51625"/>
    <w:rsid w:val="00B73A67"/>
    <w:rsid w:val="00B80C1E"/>
    <w:rsid w:val="00B93975"/>
    <w:rsid w:val="00B94325"/>
    <w:rsid w:val="00BB7DC5"/>
    <w:rsid w:val="00BF433F"/>
    <w:rsid w:val="00BF6FA0"/>
    <w:rsid w:val="00C140B5"/>
    <w:rsid w:val="00C56EA4"/>
    <w:rsid w:val="00C63D23"/>
    <w:rsid w:val="00CA342A"/>
    <w:rsid w:val="00CB5C68"/>
    <w:rsid w:val="00D20E59"/>
    <w:rsid w:val="00D32370"/>
    <w:rsid w:val="00D942E1"/>
    <w:rsid w:val="00DB310A"/>
    <w:rsid w:val="00DE42F6"/>
    <w:rsid w:val="00E006F7"/>
    <w:rsid w:val="00E07B38"/>
    <w:rsid w:val="00E257E2"/>
    <w:rsid w:val="00E3253A"/>
    <w:rsid w:val="00E50E90"/>
    <w:rsid w:val="00E600D5"/>
    <w:rsid w:val="00E77068"/>
    <w:rsid w:val="00EB2B10"/>
    <w:rsid w:val="00ED1790"/>
    <w:rsid w:val="00F11C15"/>
    <w:rsid w:val="00F120EE"/>
    <w:rsid w:val="00F15BE1"/>
    <w:rsid w:val="00F34254"/>
    <w:rsid w:val="00F91831"/>
    <w:rsid w:val="00FA6CB3"/>
    <w:rsid w:val="00FC6EA6"/>
    <w:rsid w:val="00FD4DB6"/>
    <w:rsid w:val="232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D7BC9"/>
  <w15:docId w15:val="{0911F83C-3D0D-4237-A956-4E0CD24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6C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16C9E"/>
  </w:style>
  <w:style w:type="paragraph" w:styleId="a5">
    <w:name w:val="Body Text"/>
    <w:basedOn w:val="a"/>
    <w:link w:val="a6"/>
    <w:uiPriority w:val="1"/>
    <w:qFormat/>
    <w:rsid w:val="00216C9E"/>
    <w:pPr>
      <w:ind w:left="117"/>
    </w:pPr>
    <w:rPr>
      <w:rFonts w:ascii="宋体" w:eastAsia="宋体" w:cs="宋体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6C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6C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216C9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16C9E"/>
    <w:rPr>
      <w:sz w:val="21"/>
      <w:szCs w:val="21"/>
    </w:rPr>
  </w:style>
  <w:style w:type="character" w:customStyle="1" w:styleId="a6">
    <w:name w:val="正文文本 字符"/>
    <w:basedOn w:val="a0"/>
    <w:link w:val="a5"/>
    <w:uiPriority w:val="1"/>
    <w:rsid w:val="00216C9E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216C9E"/>
  </w:style>
  <w:style w:type="character" w:customStyle="1" w:styleId="Char">
    <w:name w:val="表格 Char"/>
    <w:basedOn w:val="a0"/>
    <w:link w:val="af0"/>
    <w:rsid w:val="00216C9E"/>
    <w:rPr>
      <w:sz w:val="18"/>
    </w:rPr>
  </w:style>
  <w:style w:type="paragraph" w:customStyle="1" w:styleId="af0">
    <w:name w:val="表格"/>
    <w:basedOn w:val="a"/>
    <w:link w:val="Char"/>
    <w:qFormat/>
    <w:rsid w:val="00216C9E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ac">
    <w:name w:val="页眉 字符"/>
    <w:basedOn w:val="a0"/>
    <w:link w:val="ab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216C9E"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216C9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216C9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YNRY</dc:creator>
  <cp:lastModifiedBy>YangMingJiang</cp:lastModifiedBy>
  <cp:revision>59</cp:revision>
  <dcterms:created xsi:type="dcterms:W3CDTF">2017-07-25T06:42:00Z</dcterms:created>
  <dcterms:modified xsi:type="dcterms:W3CDTF">2020-02-18T03:41:00Z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